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35" w:rsidRPr="00F40FBE" w:rsidRDefault="00F84635" w:rsidP="00F40FBE">
      <w:pPr>
        <w:jc w:val="center"/>
        <w:rPr>
          <w:szCs w:val="24"/>
          <w:lang w:val="fr-FR"/>
        </w:rPr>
      </w:pPr>
      <w:bookmarkStart w:id="0" w:name="_GoBack"/>
      <w:bookmarkEnd w:id="0"/>
    </w:p>
    <w:p w:rsidR="00EE3D89" w:rsidRPr="00F40FBE" w:rsidRDefault="00EE3D89" w:rsidP="00F40FBE">
      <w:pPr>
        <w:jc w:val="center"/>
        <w:rPr>
          <w:szCs w:val="24"/>
          <w:lang w:val="fr-FR"/>
        </w:rPr>
      </w:pPr>
    </w:p>
    <w:p w:rsidR="00EE3D89" w:rsidRPr="00F40FBE" w:rsidRDefault="00EE3D89" w:rsidP="00F40FBE">
      <w:pPr>
        <w:jc w:val="center"/>
        <w:rPr>
          <w:szCs w:val="24"/>
          <w:lang w:val="fr-FR"/>
        </w:rPr>
      </w:pPr>
    </w:p>
    <w:p w:rsidR="00F84635" w:rsidRPr="00F40FBE" w:rsidRDefault="003F2FC4" w:rsidP="00F40FBE">
      <w:pPr>
        <w:jc w:val="center"/>
        <w:rPr>
          <w:szCs w:val="24"/>
          <w:lang w:val="fr-FR"/>
        </w:rPr>
      </w:pPr>
      <w:r w:rsidRPr="00F40FBE">
        <w:rPr>
          <w:szCs w:val="24"/>
          <w:lang w:val="fr-FR"/>
        </w:rPr>
        <w:t>PREMIÈRE SECTION</w:t>
      </w:r>
    </w:p>
    <w:p w:rsidR="00F84635" w:rsidRPr="00F40FBE" w:rsidRDefault="00F84635" w:rsidP="00F40FBE">
      <w:pPr>
        <w:jc w:val="center"/>
        <w:rPr>
          <w:szCs w:val="24"/>
          <w:lang w:val="fr-FR"/>
        </w:rPr>
      </w:pPr>
    </w:p>
    <w:p w:rsidR="00EE3D89" w:rsidRPr="00F40FBE" w:rsidRDefault="00EE3D89" w:rsidP="00F40FBE">
      <w:pPr>
        <w:jc w:val="center"/>
        <w:rPr>
          <w:szCs w:val="24"/>
          <w:lang w:val="fr-FR"/>
        </w:rPr>
      </w:pPr>
    </w:p>
    <w:p w:rsidR="00EE3D89" w:rsidRPr="00F40FBE" w:rsidRDefault="00EE3D89" w:rsidP="00F40FBE">
      <w:pPr>
        <w:jc w:val="center"/>
        <w:rPr>
          <w:szCs w:val="24"/>
          <w:lang w:val="fr-FR"/>
        </w:rPr>
      </w:pPr>
    </w:p>
    <w:p w:rsidR="00EE3D89" w:rsidRPr="00F40FBE" w:rsidRDefault="00EE3D89" w:rsidP="00F40FBE">
      <w:pPr>
        <w:jc w:val="center"/>
        <w:rPr>
          <w:szCs w:val="24"/>
          <w:lang w:val="fr-FR"/>
        </w:rPr>
      </w:pPr>
    </w:p>
    <w:p w:rsidR="00EE3D89" w:rsidRPr="00F40FBE" w:rsidRDefault="00EE3D89" w:rsidP="00F40FBE">
      <w:pPr>
        <w:jc w:val="center"/>
        <w:rPr>
          <w:szCs w:val="24"/>
          <w:lang w:val="fr-FR"/>
        </w:rPr>
      </w:pPr>
    </w:p>
    <w:p w:rsidR="00EE3D89" w:rsidRPr="00F40FBE" w:rsidRDefault="00EE3D89" w:rsidP="00F40FBE">
      <w:pPr>
        <w:jc w:val="center"/>
        <w:rPr>
          <w:szCs w:val="24"/>
          <w:lang w:val="fr-FR"/>
        </w:rPr>
      </w:pPr>
    </w:p>
    <w:p w:rsidR="00F84635" w:rsidRPr="00F40FBE" w:rsidRDefault="00F84635" w:rsidP="00F40FBE">
      <w:pPr>
        <w:jc w:val="center"/>
        <w:rPr>
          <w:b/>
          <w:szCs w:val="24"/>
          <w:lang w:val="fr-FR"/>
        </w:rPr>
      </w:pPr>
      <w:r w:rsidRPr="00F40FBE">
        <w:rPr>
          <w:b/>
          <w:szCs w:val="24"/>
          <w:lang w:val="fr-FR"/>
        </w:rPr>
        <w:t xml:space="preserve">AFFAIRE </w:t>
      </w:r>
      <w:r w:rsidR="003F2FC4" w:rsidRPr="00F40FBE">
        <w:rPr>
          <w:b/>
          <w:szCs w:val="24"/>
          <w:lang w:val="fr-FR"/>
        </w:rPr>
        <w:t>CIPOLLETTA c. ITALIE</w:t>
      </w:r>
    </w:p>
    <w:p w:rsidR="00F84635" w:rsidRPr="00F40FBE" w:rsidRDefault="00F84635" w:rsidP="00F40FBE">
      <w:pPr>
        <w:jc w:val="center"/>
        <w:rPr>
          <w:szCs w:val="24"/>
          <w:lang w:val="fr-FR"/>
        </w:rPr>
      </w:pPr>
    </w:p>
    <w:p w:rsidR="00F84635" w:rsidRPr="00F40FBE" w:rsidRDefault="00F84635" w:rsidP="00F40FBE">
      <w:pPr>
        <w:jc w:val="center"/>
        <w:rPr>
          <w:szCs w:val="24"/>
          <w:u w:val="single"/>
          <w:lang w:val="fr-FR"/>
        </w:rPr>
      </w:pPr>
      <w:r w:rsidRPr="00F40FBE">
        <w:rPr>
          <w:szCs w:val="24"/>
          <w:lang w:val="fr-FR"/>
        </w:rPr>
        <w:t>(</w:t>
      </w:r>
      <w:r w:rsidR="003F2FC4" w:rsidRPr="00F40FBE">
        <w:rPr>
          <w:i/>
          <w:szCs w:val="24"/>
          <w:lang w:val="fr-FR"/>
        </w:rPr>
        <w:t>Requête n</w:t>
      </w:r>
      <w:r w:rsidR="003F2FC4" w:rsidRPr="00F40FBE">
        <w:rPr>
          <w:i/>
          <w:szCs w:val="24"/>
          <w:vertAlign w:val="superscript"/>
          <w:lang w:val="fr-FR"/>
        </w:rPr>
        <w:t>o</w:t>
      </w:r>
      <w:r w:rsidR="003F2FC4" w:rsidRPr="00F40FBE">
        <w:rPr>
          <w:i/>
          <w:szCs w:val="24"/>
          <w:lang w:val="fr-FR"/>
        </w:rPr>
        <w:t xml:space="preserve"> 38259/09</w:t>
      </w:r>
      <w:r w:rsidRPr="00F40FBE">
        <w:rPr>
          <w:i/>
          <w:szCs w:val="24"/>
          <w:lang w:val="fr-FR"/>
        </w:rPr>
        <w:t>)</w:t>
      </w: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EE3D89" w:rsidRPr="00F40FBE" w:rsidRDefault="00EE3D89" w:rsidP="00F40FBE">
      <w:pPr>
        <w:jc w:val="center"/>
        <w:rPr>
          <w:szCs w:val="24"/>
          <w:lang w:val="fr-FR"/>
        </w:rPr>
      </w:pPr>
      <w:r w:rsidRPr="00F40FBE">
        <w:rPr>
          <w:szCs w:val="24"/>
          <w:lang w:val="fr-FR"/>
        </w:rPr>
        <w:t>ARRÊT</w:t>
      </w: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902CF4" w:rsidRPr="00F40FBE" w:rsidRDefault="00902CF4" w:rsidP="00F40FBE">
      <w:pPr>
        <w:jc w:val="center"/>
        <w:rPr>
          <w:lang w:val="fr-FR"/>
        </w:rPr>
      </w:pPr>
    </w:p>
    <w:p w:rsidR="00EE3D89" w:rsidRPr="00F40FBE" w:rsidRDefault="00EE3D89" w:rsidP="00F40FBE">
      <w:pPr>
        <w:jc w:val="center"/>
        <w:rPr>
          <w:szCs w:val="24"/>
          <w:lang w:val="fr-FR"/>
        </w:rPr>
      </w:pPr>
      <w:r w:rsidRPr="00F40FBE">
        <w:rPr>
          <w:szCs w:val="24"/>
          <w:lang w:val="fr-FR"/>
        </w:rPr>
        <w:t>STRASBOURG</w:t>
      </w:r>
    </w:p>
    <w:p w:rsidR="00EE3D89" w:rsidRPr="00F40FBE" w:rsidRDefault="00EE3D89" w:rsidP="00F40FBE">
      <w:pPr>
        <w:jc w:val="center"/>
        <w:rPr>
          <w:szCs w:val="24"/>
          <w:lang w:val="fr-FR"/>
        </w:rPr>
      </w:pPr>
    </w:p>
    <w:p w:rsidR="00EE3D89" w:rsidRPr="00F40FBE" w:rsidRDefault="00902CF4" w:rsidP="00F40FBE">
      <w:pPr>
        <w:jc w:val="center"/>
        <w:rPr>
          <w:szCs w:val="24"/>
          <w:lang w:val="fr-FR"/>
        </w:rPr>
      </w:pPr>
      <w:r w:rsidRPr="00F40FBE">
        <w:rPr>
          <w:szCs w:val="24"/>
          <w:lang w:val="fr-FR"/>
        </w:rPr>
        <w:t>11 janvier 2018</w:t>
      </w:r>
    </w:p>
    <w:p w:rsidR="00EE3D89" w:rsidRPr="00F40FBE" w:rsidRDefault="00EE3D89" w:rsidP="00F40FBE">
      <w:pPr>
        <w:jc w:val="center"/>
        <w:rPr>
          <w:szCs w:val="24"/>
          <w:lang w:val="fr-FR"/>
        </w:rPr>
      </w:pPr>
    </w:p>
    <w:p w:rsidR="00EE3D89" w:rsidRPr="00F40FBE" w:rsidRDefault="00EE3D89" w:rsidP="00F40FBE">
      <w:pPr>
        <w:jc w:val="center"/>
        <w:rPr>
          <w:szCs w:val="24"/>
          <w:lang w:val="fr-FR"/>
        </w:rPr>
      </w:pPr>
    </w:p>
    <w:p w:rsidR="00EE3D89" w:rsidRPr="00F40FBE" w:rsidRDefault="00EE3D89" w:rsidP="00F40FBE">
      <w:pPr>
        <w:jc w:val="left"/>
        <w:rPr>
          <w:sz w:val="16"/>
          <w:szCs w:val="16"/>
          <w:lang w:val="fr-FR"/>
        </w:rPr>
      </w:pPr>
      <w:r w:rsidRPr="00F40FBE">
        <w:rPr>
          <w:i/>
          <w:sz w:val="22"/>
          <w:lang w:val="fr-FR"/>
        </w:rPr>
        <w:t>Cet arrêt deviendra définitif dans les conditions définies à l</w:t>
      </w:r>
      <w:r w:rsidR="00F40FBE" w:rsidRPr="00F40FBE">
        <w:rPr>
          <w:i/>
          <w:sz w:val="22"/>
          <w:lang w:val="fr-FR"/>
        </w:rPr>
        <w:t>’</w:t>
      </w:r>
      <w:r w:rsidRPr="00F40FBE">
        <w:rPr>
          <w:i/>
          <w:sz w:val="22"/>
          <w:lang w:val="fr-FR"/>
        </w:rPr>
        <w:t>article 44 § 2 de la Convention. Il peut subir des retouches de forme</w:t>
      </w:r>
      <w:r w:rsidRPr="00F40FBE">
        <w:rPr>
          <w:i/>
          <w:szCs w:val="24"/>
          <w:lang w:val="fr-FR"/>
        </w:rPr>
        <w:t>.</w:t>
      </w:r>
    </w:p>
    <w:p w:rsidR="00EE3D89" w:rsidRPr="00F40FBE" w:rsidRDefault="00EE3D89" w:rsidP="00F40FBE">
      <w:pPr>
        <w:pStyle w:val="ECHRPara"/>
        <w:rPr>
          <w:sz w:val="16"/>
          <w:szCs w:val="16"/>
          <w:lang w:val="fr-FR"/>
        </w:rPr>
        <w:sectPr w:rsidR="00EE3D89" w:rsidRPr="00F40FBE" w:rsidSect="00EE3D89">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2C11B0" w:rsidRPr="00F40FBE" w:rsidRDefault="002C11B0" w:rsidP="00F40FBE">
      <w:pPr>
        <w:pStyle w:val="ECHRPara"/>
        <w:rPr>
          <w:b/>
          <w:lang w:val="fr-FR"/>
        </w:rPr>
      </w:pPr>
      <w:r w:rsidRPr="00F40FBE">
        <w:rPr>
          <w:b/>
          <w:lang w:val="fr-FR"/>
        </w:rPr>
        <w:lastRenderedPageBreak/>
        <w:t>En l</w:t>
      </w:r>
      <w:r w:rsidR="00F40FBE" w:rsidRPr="00F40FBE">
        <w:rPr>
          <w:b/>
          <w:lang w:val="fr-FR"/>
        </w:rPr>
        <w:t>’</w:t>
      </w:r>
      <w:r w:rsidRPr="00F40FBE">
        <w:rPr>
          <w:b/>
          <w:lang w:val="fr-FR"/>
        </w:rPr>
        <w:t>affaire Cipolletta c. Italie,</w:t>
      </w:r>
    </w:p>
    <w:p w:rsidR="00F84635" w:rsidRPr="00F40FBE" w:rsidRDefault="00F84635" w:rsidP="00F40FBE">
      <w:pPr>
        <w:pStyle w:val="ECHRPara"/>
        <w:rPr>
          <w:lang w:val="fr-FR"/>
        </w:rPr>
      </w:pPr>
      <w:r w:rsidRPr="00F40FBE">
        <w:rPr>
          <w:lang w:val="fr-FR"/>
        </w:rPr>
        <w:t>La Cour européenne des droits de l</w:t>
      </w:r>
      <w:r w:rsidR="00F40FBE" w:rsidRPr="00F40FBE">
        <w:rPr>
          <w:lang w:val="fr-FR"/>
        </w:rPr>
        <w:t>’</w:t>
      </w:r>
      <w:r w:rsidRPr="00F40FBE">
        <w:rPr>
          <w:lang w:val="fr-FR"/>
        </w:rPr>
        <w:t>homme (</w:t>
      </w:r>
      <w:r w:rsidR="003F2FC4" w:rsidRPr="00F40FBE">
        <w:rPr>
          <w:lang w:val="fr-FR"/>
        </w:rPr>
        <w:t>première section</w:t>
      </w:r>
      <w:r w:rsidRPr="00F40FBE">
        <w:rPr>
          <w:lang w:val="fr-FR"/>
        </w:rPr>
        <w:t xml:space="preserve">), siégeant en </w:t>
      </w:r>
      <w:r w:rsidR="003F2FC4" w:rsidRPr="00F40FBE">
        <w:rPr>
          <w:lang w:val="fr-FR"/>
        </w:rPr>
        <w:t>une chambre composée</w:t>
      </w:r>
      <w:r w:rsidRPr="00F40FBE">
        <w:rPr>
          <w:lang w:val="fr-FR"/>
        </w:rPr>
        <w:t xml:space="preserve"> de :</w:t>
      </w:r>
    </w:p>
    <w:p w:rsidR="00F84635" w:rsidRPr="00F40FBE" w:rsidRDefault="00EE3D89" w:rsidP="00F40FBE">
      <w:pPr>
        <w:pStyle w:val="ECHRDecisionBody"/>
        <w:rPr>
          <w:lang w:val="fr-FR"/>
        </w:rPr>
      </w:pPr>
      <w:r w:rsidRPr="00F40FBE">
        <w:rPr>
          <w:lang w:val="fr-FR"/>
        </w:rPr>
        <w:tab/>
        <w:t>Linos-Alexandre Sicilianos,</w:t>
      </w:r>
      <w:r w:rsidRPr="00F40FBE">
        <w:rPr>
          <w:i/>
          <w:lang w:val="fr-FR"/>
        </w:rPr>
        <w:t xml:space="preserve"> président,</w:t>
      </w:r>
      <w:r w:rsidRPr="00F40FBE">
        <w:rPr>
          <w:i/>
          <w:lang w:val="fr-FR"/>
        </w:rPr>
        <w:br/>
      </w:r>
      <w:r w:rsidRPr="00F40FBE">
        <w:rPr>
          <w:lang w:val="fr-FR"/>
        </w:rPr>
        <w:tab/>
        <w:t>Kristina Pardalos,</w:t>
      </w:r>
      <w:r w:rsidRPr="00F40FBE">
        <w:rPr>
          <w:i/>
          <w:lang w:val="fr-FR"/>
        </w:rPr>
        <w:br/>
      </w:r>
      <w:r w:rsidRPr="00F40FBE">
        <w:rPr>
          <w:lang w:val="fr-FR"/>
        </w:rPr>
        <w:tab/>
        <w:t>Guido Raimondi,</w:t>
      </w:r>
      <w:r w:rsidRPr="00F40FBE">
        <w:rPr>
          <w:i/>
          <w:lang w:val="fr-FR"/>
        </w:rPr>
        <w:br/>
      </w:r>
      <w:r w:rsidRPr="00F40FBE">
        <w:rPr>
          <w:lang w:val="fr-FR"/>
        </w:rPr>
        <w:tab/>
        <w:t>Krzysztof Wojtyczek,</w:t>
      </w:r>
      <w:r w:rsidRPr="00F40FBE">
        <w:rPr>
          <w:i/>
          <w:lang w:val="fr-FR"/>
        </w:rPr>
        <w:br/>
      </w:r>
      <w:r w:rsidRPr="00F40FBE">
        <w:rPr>
          <w:lang w:val="fr-FR"/>
        </w:rPr>
        <w:tab/>
        <w:t>Ksenija Turković,</w:t>
      </w:r>
      <w:r w:rsidRPr="00F40FBE">
        <w:rPr>
          <w:i/>
          <w:lang w:val="fr-FR"/>
        </w:rPr>
        <w:br/>
      </w:r>
      <w:r w:rsidRPr="00F40FBE">
        <w:rPr>
          <w:lang w:val="fr-FR"/>
        </w:rPr>
        <w:tab/>
        <w:t>Pauliine Koskelo,</w:t>
      </w:r>
      <w:r w:rsidRPr="00F40FBE">
        <w:rPr>
          <w:i/>
          <w:lang w:val="fr-FR"/>
        </w:rPr>
        <w:br/>
      </w:r>
      <w:r w:rsidRPr="00F40FBE">
        <w:rPr>
          <w:lang w:val="fr-FR"/>
        </w:rPr>
        <w:tab/>
        <w:t>Jovan Ilievski,</w:t>
      </w:r>
      <w:r w:rsidRPr="00F40FBE">
        <w:rPr>
          <w:i/>
          <w:lang w:val="fr-FR"/>
        </w:rPr>
        <w:t xml:space="preserve"> juges,</w:t>
      </w:r>
      <w:r w:rsidRPr="00F40FBE">
        <w:rPr>
          <w:i/>
          <w:lang w:val="fr-FR"/>
        </w:rPr>
        <w:br/>
      </w:r>
      <w:r w:rsidR="00F84635" w:rsidRPr="00F40FBE">
        <w:rPr>
          <w:lang w:val="fr-FR"/>
        </w:rPr>
        <w:t xml:space="preserve">et de </w:t>
      </w:r>
      <w:r w:rsidR="003F2FC4" w:rsidRPr="00F40FBE">
        <w:rPr>
          <w:lang w:val="fr-FR"/>
        </w:rPr>
        <w:t>Abel Campos</w:t>
      </w:r>
      <w:r w:rsidR="00F84635" w:rsidRPr="00F40FBE">
        <w:rPr>
          <w:lang w:val="fr-FR"/>
        </w:rPr>
        <w:t xml:space="preserve">, </w:t>
      </w:r>
      <w:r w:rsidR="003F2FC4" w:rsidRPr="00F40FBE">
        <w:rPr>
          <w:i/>
          <w:lang w:val="fr-FR"/>
        </w:rPr>
        <w:t>greffier</w:t>
      </w:r>
      <w:r w:rsidR="003F2FC4" w:rsidRPr="00F40FBE">
        <w:rPr>
          <w:iCs/>
          <w:lang w:val="fr-FR"/>
        </w:rPr>
        <w:t xml:space="preserve"> </w:t>
      </w:r>
      <w:r w:rsidR="003F2FC4" w:rsidRPr="00F40FBE">
        <w:rPr>
          <w:i/>
          <w:iCs/>
          <w:lang w:val="fr-FR"/>
        </w:rPr>
        <w:t>d</w:t>
      </w:r>
      <w:r w:rsidR="003F2FC4" w:rsidRPr="00F40FBE">
        <w:rPr>
          <w:i/>
          <w:lang w:val="fr-FR"/>
        </w:rPr>
        <w:t>e section</w:t>
      </w:r>
      <w:r w:rsidR="00F84635" w:rsidRPr="00F40FBE">
        <w:rPr>
          <w:lang w:val="fr-FR"/>
        </w:rPr>
        <w:t>,</w:t>
      </w:r>
    </w:p>
    <w:p w:rsidR="00F84635" w:rsidRPr="00F40FBE" w:rsidRDefault="00F84635" w:rsidP="00F40FBE">
      <w:pPr>
        <w:pStyle w:val="ECHRPara"/>
        <w:rPr>
          <w:lang w:val="fr-FR"/>
        </w:rPr>
      </w:pPr>
      <w:r w:rsidRPr="00F40FBE">
        <w:rPr>
          <w:lang w:val="fr-FR"/>
        </w:rPr>
        <w:t xml:space="preserve">Après en avoir délibéré en chambre du conseil le </w:t>
      </w:r>
      <w:r w:rsidR="00902CF4" w:rsidRPr="00F40FBE">
        <w:rPr>
          <w:lang w:val="fr-FR"/>
        </w:rPr>
        <w:t>28 novembre 2017</w:t>
      </w:r>
      <w:r w:rsidRPr="00F40FBE">
        <w:rPr>
          <w:lang w:val="fr-FR"/>
        </w:rPr>
        <w:t>,</w:t>
      </w:r>
    </w:p>
    <w:p w:rsidR="00F84635" w:rsidRPr="00F40FBE" w:rsidRDefault="00F84635" w:rsidP="00F40FBE">
      <w:pPr>
        <w:pStyle w:val="ECHRPara"/>
        <w:rPr>
          <w:lang w:val="fr-FR"/>
        </w:rPr>
      </w:pPr>
      <w:r w:rsidRPr="00F40FBE">
        <w:rPr>
          <w:lang w:val="fr-FR"/>
        </w:rPr>
        <w:t>Rend l</w:t>
      </w:r>
      <w:r w:rsidR="00F40FBE" w:rsidRPr="00F40FBE">
        <w:rPr>
          <w:lang w:val="fr-FR"/>
        </w:rPr>
        <w:t>’</w:t>
      </w:r>
      <w:r w:rsidRPr="00F40FBE">
        <w:rPr>
          <w:lang w:val="fr-FR"/>
        </w:rPr>
        <w:t>arrêt que voici, adopté à cette date :</w:t>
      </w:r>
    </w:p>
    <w:p w:rsidR="00F84635" w:rsidRPr="00F40FBE" w:rsidRDefault="00F84635" w:rsidP="00F40FBE">
      <w:pPr>
        <w:pStyle w:val="ECHRTitle1"/>
        <w:rPr>
          <w:lang w:val="fr-FR"/>
        </w:rPr>
      </w:pPr>
      <w:r w:rsidRPr="00F40FBE">
        <w:rPr>
          <w:lang w:val="fr-FR"/>
        </w:rPr>
        <w:t>PROCÉDURE</w:t>
      </w:r>
    </w:p>
    <w:p w:rsidR="00F84635"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1</w:t>
      </w:r>
      <w:r w:rsidRPr="00F40FBE">
        <w:rPr>
          <w:lang w:val="fr-FR"/>
        </w:rPr>
        <w:fldChar w:fldCharType="end"/>
      </w:r>
      <w:r w:rsidR="00F84635" w:rsidRPr="00F40FBE">
        <w:rPr>
          <w:lang w:val="fr-FR"/>
        </w:rPr>
        <w:t>.  À l</w:t>
      </w:r>
      <w:r w:rsidR="00F40FBE" w:rsidRPr="00F40FBE">
        <w:rPr>
          <w:lang w:val="fr-FR"/>
        </w:rPr>
        <w:t>’</w:t>
      </w:r>
      <w:r w:rsidR="00F84635" w:rsidRPr="00F40FBE">
        <w:rPr>
          <w:lang w:val="fr-FR"/>
        </w:rPr>
        <w:t>origine de l</w:t>
      </w:r>
      <w:r w:rsidR="00F40FBE" w:rsidRPr="00F40FBE">
        <w:rPr>
          <w:lang w:val="fr-FR"/>
        </w:rPr>
        <w:t>’</w:t>
      </w:r>
      <w:r w:rsidR="00F84635" w:rsidRPr="00F40FBE">
        <w:rPr>
          <w:lang w:val="fr-FR"/>
        </w:rPr>
        <w:t xml:space="preserve">affaire </w:t>
      </w:r>
      <w:r w:rsidRPr="00F40FBE">
        <w:rPr>
          <w:lang w:val="fr-FR"/>
        </w:rPr>
        <w:t>se trouve une requête (n</w:t>
      </w:r>
      <w:r w:rsidR="00394DA5" w:rsidRPr="00F40FBE">
        <w:rPr>
          <w:vertAlign w:val="superscript"/>
          <w:lang w:val="fr-FR"/>
        </w:rPr>
        <w:t>o</w:t>
      </w:r>
      <w:r w:rsidRPr="00F40FBE">
        <w:rPr>
          <w:lang w:val="fr-FR"/>
        </w:rPr>
        <w:t xml:space="preserve"> 38259/09) dirigée</w:t>
      </w:r>
      <w:r w:rsidR="00F84635" w:rsidRPr="00F40FBE">
        <w:rPr>
          <w:lang w:val="fr-FR"/>
        </w:rPr>
        <w:t xml:space="preserve"> contre </w:t>
      </w:r>
      <w:r w:rsidRPr="00F40FBE">
        <w:rPr>
          <w:lang w:val="fr-FR"/>
        </w:rPr>
        <w:t>la République italienne</w:t>
      </w:r>
      <w:r w:rsidR="00F84635" w:rsidRPr="00F40FBE">
        <w:rPr>
          <w:lang w:val="fr-FR"/>
        </w:rPr>
        <w:t xml:space="preserve"> et dont </w:t>
      </w:r>
      <w:r w:rsidRPr="00F40FBE">
        <w:rPr>
          <w:lang w:val="fr-FR"/>
        </w:rPr>
        <w:t>un ressortissant de cet État, M. Aldo Cipolletta (« le requérant »), a saisi la Cour le 14 juillet 2009</w:t>
      </w:r>
      <w:r w:rsidR="00F84635" w:rsidRPr="00F40FBE">
        <w:rPr>
          <w:lang w:val="fr-FR"/>
        </w:rPr>
        <w:t xml:space="preserve"> en vertu de l</w:t>
      </w:r>
      <w:r w:rsidR="00F40FBE" w:rsidRPr="00F40FBE">
        <w:rPr>
          <w:lang w:val="fr-FR"/>
        </w:rPr>
        <w:t>’</w:t>
      </w:r>
      <w:r w:rsidR="00F84635" w:rsidRPr="00F40FBE">
        <w:rPr>
          <w:lang w:val="fr-FR"/>
        </w:rPr>
        <w:t xml:space="preserve">article </w:t>
      </w:r>
      <w:r w:rsidRPr="00F40FBE">
        <w:rPr>
          <w:lang w:val="fr-FR"/>
        </w:rPr>
        <w:t>34</w:t>
      </w:r>
      <w:r w:rsidR="00F84635" w:rsidRPr="00F40FBE">
        <w:rPr>
          <w:lang w:val="fr-FR"/>
        </w:rPr>
        <w:t xml:space="preserve"> de la Convention de sauvegarde des droits de l</w:t>
      </w:r>
      <w:r w:rsidR="00F40FBE" w:rsidRPr="00F40FBE">
        <w:rPr>
          <w:lang w:val="fr-FR"/>
        </w:rPr>
        <w:t>’</w:t>
      </w:r>
      <w:r w:rsidR="00F84635" w:rsidRPr="00F40FBE">
        <w:rPr>
          <w:lang w:val="fr-FR"/>
        </w:rPr>
        <w:t>homme et des libertés fondamentales (« la Convention »).</w:t>
      </w:r>
    </w:p>
    <w:p w:rsidR="00F84635"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2</w:t>
      </w:r>
      <w:r w:rsidRPr="00F40FBE">
        <w:rPr>
          <w:lang w:val="fr-FR"/>
        </w:rPr>
        <w:fldChar w:fldCharType="end"/>
      </w:r>
      <w:r w:rsidR="00F84635" w:rsidRPr="00F40FBE">
        <w:rPr>
          <w:lang w:val="fr-FR"/>
        </w:rPr>
        <w:t>.  </w:t>
      </w:r>
      <w:r w:rsidRPr="00F40FBE">
        <w:rPr>
          <w:lang w:val="fr-FR"/>
        </w:rPr>
        <w:t>Le requérant a été représenté par M</w:t>
      </w:r>
      <w:r w:rsidRPr="00F40FBE">
        <w:rPr>
          <w:vertAlign w:val="superscript"/>
          <w:lang w:val="fr-FR"/>
        </w:rPr>
        <w:t>e</w:t>
      </w:r>
      <w:r w:rsidRPr="00F40FBE">
        <w:rPr>
          <w:lang w:val="fr-FR"/>
        </w:rPr>
        <w:t xml:space="preserve"> S. Benedetti, avocat à Corridonia. </w:t>
      </w:r>
      <w:r w:rsidR="00F84635" w:rsidRPr="00F40FBE">
        <w:rPr>
          <w:lang w:val="fr-FR"/>
        </w:rPr>
        <w:t xml:space="preserve">Le gouvernement </w:t>
      </w:r>
      <w:r w:rsidRPr="00F40FBE">
        <w:rPr>
          <w:lang w:val="fr-FR"/>
        </w:rPr>
        <w:t>italien</w:t>
      </w:r>
      <w:r w:rsidR="00F84635" w:rsidRPr="00F40FBE">
        <w:rPr>
          <w:lang w:val="fr-FR"/>
        </w:rPr>
        <w:t xml:space="preserve"> (« le Gouvernement ») a été représenté par son agent,</w:t>
      </w:r>
      <w:r w:rsidR="00CE37C9" w:rsidRPr="00F40FBE">
        <w:rPr>
          <w:lang w:val="fr-FR"/>
        </w:rPr>
        <w:t xml:space="preserve"> M</w:t>
      </w:r>
      <w:r w:rsidR="00CE37C9" w:rsidRPr="00F40FBE">
        <w:rPr>
          <w:vertAlign w:val="superscript"/>
          <w:lang w:val="fr-FR"/>
        </w:rPr>
        <w:t>me</w:t>
      </w:r>
      <w:r w:rsidR="00CE37C9" w:rsidRPr="00F40FBE">
        <w:rPr>
          <w:lang w:val="fr-FR"/>
        </w:rPr>
        <w:t xml:space="preserve"> E. Spatafora</w:t>
      </w:r>
      <w:r w:rsidR="00837CC3" w:rsidRPr="00F40FBE">
        <w:rPr>
          <w:lang w:val="fr-FR"/>
        </w:rPr>
        <w:t>.</w:t>
      </w:r>
    </w:p>
    <w:p w:rsidR="00F84635"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3</w:t>
      </w:r>
      <w:r w:rsidRPr="00F40FBE">
        <w:rPr>
          <w:lang w:val="fr-FR"/>
        </w:rPr>
        <w:fldChar w:fldCharType="end"/>
      </w:r>
      <w:r w:rsidR="00F84635" w:rsidRPr="00F40FBE">
        <w:rPr>
          <w:lang w:val="fr-FR"/>
        </w:rPr>
        <w:t>.  </w:t>
      </w:r>
      <w:r w:rsidRPr="00F40FBE">
        <w:rPr>
          <w:lang w:val="fr-FR"/>
        </w:rPr>
        <w:t xml:space="preserve">Le </w:t>
      </w:r>
      <w:r w:rsidRPr="00F40FBE">
        <w:rPr>
          <w:szCs w:val="24"/>
          <w:lang w:val="fr-FR"/>
        </w:rPr>
        <w:t>27 juillet 2010</w:t>
      </w:r>
      <w:r w:rsidR="00344518" w:rsidRPr="00F40FBE">
        <w:rPr>
          <w:lang w:val="fr-FR"/>
        </w:rPr>
        <w:t xml:space="preserve">, </w:t>
      </w:r>
      <w:r w:rsidRPr="00F40FBE">
        <w:rPr>
          <w:lang w:val="fr-FR"/>
        </w:rPr>
        <w:t>la requête a été communiquée au Gouvernement</w:t>
      </w:r>
      <w:r w:rsidR="008818BB" w:rsidRPr="00F40FBE">
        <w:rPr>
          <w:lang w:val="fr-FR"/>
        </w:rPr>
        <w:t>.</w:t>
      </w:r>
    </w:p>
    <w:p w:rsidR="00F84635" w:rsidRPr="00F40FBE" w:rsidRDefault="00F84635" w:rsidP="00F40FBE">
      <w:pPr>
        <w:pStyle w:val="ECHRTitle1"/>
        <w:rPr>
          <w:lang w:val="fr-FR"/>
        </w:rPr>
      </w:pPr>
      <w:r w:rsidRPr="00F40FBE">
        <w:rPr>
          <w:lang w:val="fr-FR"/>
        </w:rPr>
        <w:t>EN FAIT</w:t>
      </w:r>
    </w:p>
    <w:p w:rsidR="00F84635" w:rsidRPr="00F40FBE" w:rsidRDefault="005547F5" w:rsidP="00F40FBE">
      <w:pPr>
        <w:pStyle w:val="ECHRHeading1"/>
        <w:rPr>
          <w:lang w:val="fr-FR"/>
        </w:rPr>
      </w:pPr>
      <w:r w:rsidRPr="00F40FBE">
        <w:rPr>
          <w:lang w:val="fr-FR"/>
        </w:rPr>
        <w:t>I</w:t>
      </w:r>
      <w:r w:rsidR="00772009" w:rsidRPr="00F40FBE">
        <w:rPr>
          <w:lang w:val="fr-FR"/>
        </w:rPr>
        <w:t>.</w:t>
      </w:r>
      <w:r w:rsidR="008E5775" w:rsidRPr="00F40FBE">
        <w:rPr>
          <w:lang w:val="fr-FR"/>
        </w:rPr>
        <w:t>  </w:t>
      </w:r>
      <w:r w:rsidR="00F84635" w:rsidRPr="00F40FBE">
        <w:rPr>
          <w:lang w:val="fr-FR"/>
        </w:rPr>
        <w:t>LES CIRCONSTANCES DE L</w:t>
      </w:r>
      <w:r w:rsidR="00F40FBE" w:rsidRPr="00F40FBE">
        <w:rPr>
          <w:lang w:val="fr-FR"/>
        </w:rPr>
        <w:t>’</w:t>
      </w:r>
      <w:r w:rsidR="00F84635" w:rsidRPr="00F40FBE">
        <w:rPr>
          <w:lang w:val="fr-FR"/>
        </w:rPr>
        <w:t>ESPÈCE</w:t>
      </w:r>
    </w:p>
    <w:p w:rsidR="00F84635"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4</w:t>
      </w:r>
      <w:r w:rsidRPr="00F40FBE">
        <w:rPr>
          <w:lang w:val="fr-FR"/>
        </w:rPr>
        <w:fldChar w:fldCharType="end"/>
      </w:r>
      <w:r w:rsidR="00F84635" w:rsidRPr="00F40FBE">
        <w:rPr>
          <w:lang w:val="fr-FR"/>
        </w:rPr>
        <w:t>.  </w:t>
      </w:r>
      <w:r w:rsidRPr="00F40FBE">
        <w:rPr>
          <w:lang w:val="fr-FR"/>
        </w:rPr>
        <w:t>Le requérant est né en 1928 et réside à Recanati</w:t>
      </w:r>
      <w:r w:rsidR="00F84635" w:rsidRPr="00F40FBE">
        <w:rPr>
          <w:lang w:val="fr-FR"/>
        </w:rPr>
        <w:t>.</w:t>
      </w:r>
    </w:p>
    <w:p w:rsidR="00A900E2" w:rsidRPr="00F40FBE" w:rsidRDefault="00A900E2"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5</w:t>
      </w:r>
      <w:r w:rsidRPr="00F40FBE">
        <w:rPr>
          <w:lang w:val="fr-FR"/>
        </w:rPr>
        <w:fldChar w:fldCharType="end"/>
      </w:r>
      <w:r w:rsidRPr="00F40FBE">
        <w:rPr>
          <w:lang w:val="fr-FR"/>
        </w:rPr>
        <w:t>.  Les faits de la cause, tels qu</w:t>
      </w:r>
      <w:r w:rsidR="00F40FBE" w:rsidRPr="00F40FBE">
        <w:rPr>
          <w:lang w:val="fr-FR"/>
        </w:rPr>
        <w:t>’</w:t>
      </w:r>
      <w:r w:rsidRPr="00F40FBE">
        <w:rPr>
          <w:lang w:val="fr-FR"/>
        </w:rPr>
        <w:t>ils ont été exposés par le requérant, peuvent se résumer comme suit.</w:t>
      </w:r>
    </w:p>
    <w:p w:rsidR="00A900E2"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6</w:t>
      </w:r>
      <w:r w:rsidRPr="00F40FBE">
        <w:rPr>
          <w:lang w:val="fr-FR"/>
        </w:rPr>
        <w:fldChar w:fldCharType="end"/>
      </w:r>
      <w:r w:rsidR="00F84635" w:rsidRPr="00F40FBE">
        <w:rPr>
          <w:lang w:val="fr-FR"/>
        </w:rPr>
        <w:t>.  </w:t>
      </w:r>
      <w:r w:rsidR="00A900E2" w:rsidRPr="00F40FBE">
        <w:rPr>
          <w:lang w:val="fr-FR"/>
        </w:rPr>
        <w:t>Le requérant était propriétaire d</w:t>
      </w:r>
      <w:r w:rsidR="00F40FBE" w:rsidRPr="00F40FBE">
        <w:rPr>
          <w:lang w:val="fr-FR"/>
        </w:rPr>
        <w:t>’</w:t>
      </w:r>
      <w:r w:rsidR="00A900E2" w:rsidRPr="00F40FBE">
        <w:rPr>
          <w:lang w:val="fr-FR"/>
        </w:rPr>
        <w:t>une entreprise de bâtiment.</w:t>
      </w:r>
    </w:p>
    <w:p w:rsidR="00A900E2" w:rsidRPr="00F40FBE" w:rsidRDefault="00A900E2"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7</w:t>
      </w:r>
      <w:r w:rsidRPr="00F40FBE">
        <w:rPr>
          <w:lang w:val="fr-FR"/>
        </w:rPr>
        <w:fldChar w:fldCharType="end"/>
      </w:r>
      <w:r w:rsidRPr="00F40FBE">
        <w:rPr>
          <w:lang w:val="fr-FR"/>
        </w:rPr>
        <w:t>.  Le 30 avril 1985, le tribunal de Macerata (arrêt n</w:t>
      </w:r>
      <w:r w:rsidRPr="00F40FBE">
        <w:rPr>
          <w:vertAlign w:val="superscript"/>
          <w:lang w:val="fr-FR"/>
        </w:rPr>
        <w:t>o</w:t>
      </w:r>
      <w:r w:rsidRPr="00F40FBE">
        <w:rPr>
          <w:lang w:val="fr-FR"/>
        </w:rPr>
        <w:t xml:space="preserve"> 31 de 1985) déclara que la société </w:t>
      </w:r>
      <w:r w:rsidR="00FC1DEA" w:rsidRPr="00F40FBE">
        <w:rPr>
          <w:lang w:val="fr-FR"/>
        </w:rPr>
        <w:t>coopérative d</w:t>
      </w:r>
      <w:r w:rsidR="00F40FBE" w:rsidRPr="00F40FBE">
        <w:rPr>
          <w:lang w:val="fr-FR"/>
        </w:rPr>
        <w:t>’</w:t>
      </w:r>
      <w:r w:rsidR="00FC1DEA" w:rsidRPr="00F40FBE">
        <w:rPr>
          <w:lang w:val="fr-FR"/>
        </w:rPr>
        <w:t xml:space="preserve">habitation </w:t>
      </w:r>
      <w:r w:rsidRPr="00F40FBE">
        <w:rPr>
          <w:lang w:val="fr-FR"/>
        </w:rPr>
        <w:t>V.L.G.,</w:t>
      </w:r>
      <w:r w:rsidR="001E5B7D" w:rsidRPr="00F40FBE">
        <w:rPr>
          <w:lang w:val="fr-FR"/>
        </w:rPr>
        <w:t xml:space="preserve"> </w:t>
      </w:r>
      <w:r w:rsidRPr="00F40FBE">
        <w:rPr>
          <w:lang w:val="fr-FR"/>
        </w:rPr>
        <w:t xml:space="preserve">dont le requérant se prétendait créancier </w:t>
      </w:r>
      <w:r w:rsidR="00B10F46" w:rsidRPr="00F40FBE">
        <w:rPr>
          <w:lang w:val="fr-FR"/>
        </w:rPr>
        <w:t xml:space="preserve">en raison de </w:t>
      </w:r>
      <w:r w:rsidR="00BD611D" w:rsidRPr="00F40FBE">
        <w:rPr>
          <w:lang w:val="fr-FR"/>
        </w:rPr>
        <w:t>lettres de change</w:t>
      </w:r>
      <w:r w:rsidR="00573BDA" w:rsidRPr="00F40FBE">
        <w:rPr>
          <w:lang w:val="fr-FR"/>
        </w:rPr>
        <w:t xml:space="preserve"> </w:t>
      </w:r>
      <w:r w:rsidRPr="00F40FBE">
        <w:rPr>
          <w:lang w:val="fr-FR"/>
        </w:rPr>
        <w:t xml:space="preserve">pour un montant de 307 364 000 lires italiennes </w:t>
      </w:r>
      <w:r w:rsidR="000202ED" w:rsidRPr="00F40FBE">
        <w:rPr>
          <w:lang w:val="fr-FR"/>
        </w:rPr>
        <w:t xml:space="preserve">(ITL) </w:t>
      </w:r>
      <w:r w:rsidRPr="00F40FBE">
        <w:rPr>
          <w:lang w:val="fr-FR"/>
        </w:rPr>
        <w:t>(soit 158</w:t>
      </w:r>
      <w:r w:rsidR="000202ED" w:rsidRPr="00F40FBE">
        <w:rPr>
          <w:lang w:val="fr-FR"/>
        </w:rPr>
        <w:t> </w:t>
      </w:r>
      <w:r w:rsidRPr="00F40FBE">
        <w:rPr>
          <w:lang w:val="fr-FR"/>
        </w:rPr>
        <w:t>740,258</w:t>
      </w:r>
      <w:r w:rsidR="000202ED" w:rsidRPr="00F40FBE">
        <w:rPr>
          <w:lang w:val="fr-FR"/>
        </w:rPr>
        <w:t xml:space="preserve"> euros (</w:t>
      </w:r>
      <w:r w:rsidRPr="00F40FBE">
        <w:rPr>
          <w:lang w:val="fr-FR"/>
        </w:rPr>
        <w:t>EUR), était en cessation de paiements. Par un décret du 4 mai 1985</w:t>
      </w:r>
      <w:r w:rsidR="005555FC" w:rsidRPr="00F40FBE">
        <w:rPr>
          <w:lang w:val="fr-FR"/>
        </w:rPr>
        <w:t xml:space="preserve"> du ministère du </w:t>
      </w:r>
      <w:r w:rsidR="000202ED" w:rsidRPr="00F40FBE">
        <w:rPr>
          <w:lang w:val="fr-FR"/>
        </w:rPr>
        <w:t>T</w:t>
      </w:r>
      <w:r w:rsidR="005555FC" w:rsidRPr="00F40FBE">
        <w:rPr>
          <w:lang w:val="fr-FR"/>
        </w:rPr>
        <w:t xml:space="preserve">ravail et de la </w:t>
      </w:r>
      <w:r w:rsidR="000202ED" w:rsidRPr="00F40FBE">
        <w:rPr>
          <w:lang w:val="fr-FR"/>
        </w:rPr>
        <w:t>P</w:t>
      </w:r>
      <w:r w:rsidR="005555FC" w:rsidRPr="00F40FBE">
        <w:rPr>
          <w:lang w:val="fr-FR"/>
        </w:rPr>
        <w:t>révoyance</w:t>
      </w:r>
      <w:r w:rsidRPr="00F40FBE">
        <w:rPr>
          <w:lang w:val="fr-FR"/>
        </w:rPr>
        <w:t xml:space="preserve">, la société fut placée en liquidation </w:t>
      </w:r>
      <w:r w:rsidRPr="00F40FBE">
        <w:rPr>
          <w:bCs/>
          <w:lang w:val="fr-FR"/>
        </w:rPr>
        <w:t>administrative</w:t>
      </w:r>
      <w:r w:rsidRPr="00F40FBE">
        <w:rPr>
          <w:lang w:val="fr-FR"/>
        </w:rPr>
        <w:t xml:space="preserve"> </w:t>
      </w:r>
      <w:r w:rsidRPr="00F40FBE">
        <w:rPr>
          <w:lang w:val="fr-FR"/>
        </w:rPr>
        <w:lastRenderedPageBreak/>
        <w:t>(</w:t>
      </w:r>
      <w:r w:rsidRPr="00F40FBE">
        <w:rPr>
          <w:i/>
          <w:iCs/>
          <w:lang w:val="fr-FR"/>
        </w:rPr>
        <w:t>liquidazione coatta amministrativa</w:t>
      </w:r>
      <w:r w:rsidRPr="00F40FBE">
        <w:rPr>
          <w:lang w:val="fr-FR"/>
        </w:rPr>
        <w:t>) sous la direction d</w:t>
      </w:r>
      <w:r w:rsidR="00F40FBE" w:rsidRPr="00F40FBE">
        <w:rPr>
          <w:lang w:val="fr-FR"/>
        </w:rPr>
        <w:t>’</w:t>
      </w:r>
      <w:r w:rsidRPr="00F40FBE">
        <w:rPr>
          <w:lang w:val="fr-FR"/>
        </w:rPr>
        <w:t>un commissaire liquidateur</w:t>
      </w:r>
      <w:r w:rsidR="0060453A" w:rsidRPr="00F40FBE">
        <w:rPr>
          <w:lang w:val="fr-FR"/>
        </w:rPr>
        <w:t xml:space="preserve"> (</w:t>
      </w:r>
      <w:r w:rsidR="000202ED" w:rsidRPr="00F40FBE">
        <w:rPr>
          <w:lang w:val="fr-FR"/>
        </w:rPr>
        <w:t xml:space="preserve">« le </w:t>
      </w:r>
      <w:r w:rsidR="0060453A" w:rsidRPr="00F40FBE">
        <w:rPr>
          <w:lang w:val="fr-FR"/>
        </w:rPr>
        <w:t>commissaire</w:t>
      </w:r>
      <w:r w:rsidR="000202ED" w:rsidRPr="00F40FBE">
        <w:rPr>
          <w:lang w:val="fr-FR"/>
        </w:rPr>
        <w:t> »</w:t>
      </w:r>
      <w:r w:rsidR="0060453A" w:rsidRPr="00F40FBE">
        <w:rPr>
          <w:lang w:val="fr-FR"/>
        </w:rPr>
        <w:t>)</w:t>
      </w:r>
      <w:r w:rsidRPr="00F40FBE">
        <w:rPr>
          <w:lang w:val="fr-FR"/>
        </w:rPr>
        <w:t>.</w:t>
      </w:r>
    </w:p>
    <w:p w:rsidR="009974F7" w:rsidRPr="00F40FBE" w:rsidRDefault="009974F7"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8</w:t>
      </w:r>
      <w:r w:rsidRPr="00F40FBE">
        <w:rPr>
          <w:lang w:val="fr-FR"/>
        </w:rPr>
        <w:fldChar w:fldCharType="end"/>
      </w:r>
      <w:r w:rsidRPr="00F40FBE">
        <w:rPr>
          <w:lang w:val="fr-FR"/>
        </w:rPr>
        <w:t>.  Le 21 juin 1985, le commissaire informa le requérant de l</w:t>
      </w:r>
      <w:r w:rsidR="00F40FBE" w:rsidRPr="00F40FBE">
        <w:rPr>
          <w:lang w:val="fr-FR"/>
        </w:rPr>
        <w:t>’</w:t>
      </w:r>
      <w:r w:rsidRPr="00F40FBE">
        <w:rPr>
          <w:lang w:val="fr-FR"/>
        </w:rPr>
        <w:t>ouverture de la procédure</w:t>
      </w:r>
      <w:r w:rsidR="004A6A9B" w:rsidRPr="00F40FBE">
        <w:rPr>
          <w:lang w:val="fr-FR"/>
        </w:rPr>
        <w:t xml:space="preserve"> et de l</w:t>
      </w:r>
      <w:r w:rsidR="00F40FBE" w:rsidRPr="00F40FBE">
        <w:rPr>
          <w:lang w:val="fr-FR"/>
        </w:rPr>
        <w:t>’</w:t>
      </w:r>
      <w:r w:rsidR="004A6A9B" w:rsidRPr="00F40FBE">
        <w:rPr>
          <w:lang w:val="fr-FR"/>
        </w:rPr>
        <w:t>état de vérification des créances</w:t>
      </w:r>
      <w:r w:rsidR="00253EA0" w:rsidRPr="00F40FBE">
        <w:rPr>
          <w:lang w:val="fr-FR"/>
        </w:rPr>
        <w:t>.</w:t>
      </w:r>
      <w:r w:rsidR="004A6A9B" w:rsidRPr="00F40FBE">
        <w:rPr>
          <w:lang w:val="fr-FR"/>
        </w:rPr>
        <w:t xml:space="preserve"> </w:t>
      </w:r>
      <w:r w:rsidR="00253EA0" w:rsidRPr="00F40FBE">
        <w:rPr>
          <w:lang w:val="fr-FR"/>
        </w:rPr>
        <w:t>L</w:t>
      </w:r>
      <w:r w:rsidR="004A6A9B" w:rsidRPr="00F40FBE">
        <w:rPr>
          <w:lang w:val="fr-FR"/>
        </w:rPr>
        <w:t>a sienne n</w:t>
      </w:r>
      <w:r w:rsidR="00F40FBE" w:rsidRPr="00F40FBE">
        <w:rPr>
          <w:lang w:val="fr-FR"/>
        </w:rPr>
        <w:t>’</w:t>
      </w:r>
      <w:r w:rsidR="00123AE6" w:rsidRPr="00F40FBE">
        <w:rPr>
          <w:lang w:val="fr-FR"/>
        </w:rPr>
        <w:t>ayant pas été prise en compte</w:t>
      </w:r>
      <w:r w:rsidR="00253EA0" w:rsidRPr="00F40FBE">
        <w:rPr>
          <w:lang w:val="fr-FR"/>
        </w:rPr>
        <w:t>,</w:t>
      </w:r>
      <w:r w:rsidRPr="00F40FBE">
        <w:rPr>
          <w:lang w:val="fr-FR"/>
        </w:rPr>
        <w:t xml:space="preserve"> </w:t>
      </w:r>
      <w:r w:rsidR="00253EA0" w:rsidRPr="00F40FBE">
        <w:rPr>
          <w:lang w:val="fr-FR"/>
        </w:rPr>
        <w:t>l</w:t>
      </w:r>
      <w:r w:rsidR="004A6A9B" w:rsidRPr="00F40FBE">
        <w:rPr>
          <w:lang w:val="fr-FR"/>
        </w:rPr>
        <w:t xml:space="preserve">e 4 juillet 1985, </w:t>
      </w:r>
      <w:r w:rsidR="00253EA0" w:rsidRPr="00F40FBE">
        <w:rPr>
          <w:lang w:val="fr-FR"/>
        </w:rPr>
        <w:t>le requérant</w:t>
      </w:r>
      <w:r w:rsidRPr="00F40FBE">
        <w:rPr>
          <w:lang w:val="fr-FR"/>
        </w:rPr>
        <w:t xml:space="preserve"> adressa au commissaire une demande </w:t>
      </w:r>
      <w:r w:rsidR="00CA1E8F" w:rsidRPr="00F40FBE">
        <w:rPr>
          <w:lang w:val="fr-FR"/>
        </w:rPr>
        <w:t>d</w:t>
      </w:r>
      <w:r w:rsidR="00F40FBE" w:rsidRPr="00F40FBE">
        <w:rPr>
          <w:lang w:val="fr-FR"/>
        </w:rPr>
        <w:t>’</w:t>
      </w:r>
      <w:r w:rsidR="00CA1E8F" w:rsidRPr="00F40FBE">
        <w:rPr>
          <w:lang w:val="fr-FR"/>
        </w:rPr>
        <w:t>admission</w:t>
      </w:r>
      <w:r w:rsidR="00F64306" w:rsidRPr="00F40FBE">
        <w:rPr>
          <w:lang w:val="fr-FR"/>
        </w:rPr>
        <w:t xml:space="preserve"> </w:t>
      </w:r>
      <w:r w:rsidR="00123AE6" w:rsidRPr="00F40FBE">
        <w:rPr>
          <w:lang w:val="fr-FR"/>
        </w:rPr>
        <w:t xml:space="preserve">au passif </w:t>
      </w:r>
      <w:r w:rsidR="00F64306" w:rsidRPr="00F40FBE">
        <w:rPr>
          <w:lang w:val="fr-FR"/>
        </w:rPr>
        <w:t xml:space="preserve">de </w:t>
      </w:r>
      <w:r w:rsidR="00253EA0" w:rsidRPr="00F40FBE">
        <w:rPr>
          <w:lang w:val="fr-FR"/>
        </w:rPr>
        <w:t>l</w:t>
      </w:r>
      <w:r w:rsidR="004A6A9B" w:rsidRPr="00F40FBE">
        <w:rPr>
          <w:lang w:val="fr-FR"/>
        </w:rPr>
        <w:t>a créance</w:t>
      </w:r>
      <w:r w:rsidR="00CA1E8F" w:rsidRPr="00F40FBE">
        <w:rPr>
          <w:lang w:val="fr-FR"/>
        </w:rPr>
        <w:t>.</w:t>
      </w:r>
    </w:p>
    <w:p w:rsidR="00A900E2" w:rsidRPr="00F40FBE" w:rsidRDefault="00A900E2"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9</w:t>
      </w:r>
      <w:r w:rsidRPr="00F40FBE">
        <w:rPr>
          <w:lang w:val="fr-FR"/>
        </w:rPr>
        <w:fldChar w:fldCharType="end"/>
      </w:r>
      <w:r w:rsidRPr="00F40FBE">
        <w:rPr>
          <w:lang w:val="fr-FR"/>
        </w:rPr>
        <w:t>.  </w:t>
      </w:r>
      <w:r w:rsidR="00014FEA" w:rsidRPr="00F40FBE">
        <w:rPr>
          <w:lang w:val="fr-FR"/>
        </w:rPr>
        <w:t xml:space="preserve">Le 14 août 1985, le commissaire </w:t>
      </w:r>
      <w:r w:rsidRPr="00F40FBE">
        <w:rPr>
          <w:lang w:val="fr-FR"/>
        </w:rPr>
        <w:t>déposa l</w:t>
      </w:r>
      <w:r w:rsidR="00F40FBE" w:rsidRPr="00F40FBE">
        <w:rPr>
          <w:lang w:val="fr-FR"/>
        </w:rPr>
        <w:t>’</w:t>
      </w:r>
      <w:r w:rsidRPr="00F40FBE">
        <w:rPr>
          <w:lang w:val="fr-FR"/>
        </w:rPr>
        <w:t xml:space="preserve">état des créances. Celle du requérant </w:t>
      </w:r>
      <w:r w:rsidR="004216CD" w:rsidRPr="00F40FBE">
        <w:rPr>
          <w:lang w:val="fr-FR"/>
        </w:rPr>
        <w:t>n</w:t>
      </w:r>
      <w:r w:rsidR="00F40FBE" w:rsidRPr="00F40FBE">
        <w:rPr>
          <w:lang w:val="fr-FR"/>
        </w:rPr>
        <w:t>’</w:t>
      </w:r>
      <w:r w:rsidR="004216CD" w:rsidRPr="00F40FBE">
        <w:rPr>
          <w:lang w:val="fr-FR"/>
        </w:rPr>
        <w:t>y figurait pas</w:t>
      </w:r>
      <w:r w:rsidRPr="00F40FBE">
        <w:rPr>
          <w:lang w:val="fr-FR"/>
        </w:rPr>
        <w:t>. Le 17 septembre 1985, le requérant s</w:t>
      </w:r>
      <w:r w:rsidR="00F40FBE" w:rsidRPr="00F40FBE">
        <w:rPr>
          <w:lang w:val="fr-FR"/>
        </w:rPr>
        <w:t>’</w:t>
      </w:r>
      <w:r w:rsidRPr="00F40FBE">
        <w:rPr>
          <w:lang w:val="fr-FR"/>
        </w:rPr>
        <w:t>opposa à l</w:t>
      </w:r>
      <w:r w:rsidR="00F40FBE" w:rsidRPr="00F40FBE">
        <w:rPr>
          <w:lang w:val="fr-FR"/>
        </w:rPr>
        <w:t>’</w:t>
      </w:r>
      <w:r w:rsidRPr="00F40FBE">
        <w:rPr>
          <w:lang w:val="fr-FR"/>
        </w:rPr>
        <w:t>état de</w:t>
      </w:r>
      <w:r w:rsidR="000202ED" w:rsidRPr="00F40FBE">
        <w:rPr>
          <w:lang w:val="fr-FR"/>
        </w:rPr>
        <w:t>s</w:t>
      </w:r>
      <w:r w:rsidRPr="00F40FBE">
        <w:rPr>
          <w:lang w:val="fr-FR"/>
        </w:rPr>
        <w:t xml:space="preserve"> créances.</w:t>
      </w:r>
    </w:p>
    <w:p w:rsidR="00A900E2" w:rsidRPr="00F40FBE" w:rsidRDefault="00A900E2"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10</w:t>
      </w:r>
      <w:r w:rsidRPr="00F40FBE">
        <w:rPr>
          <w:lang w:val="fr-FR"/>
        </w:rPr>
        <w:fldChar w:fldCharType="end"/>
      </w:r>
      <w:r w:rsidRPr="00F40FBE">
        <w:rPr>
          <w:lang w:val="fr-FR"/>
        </w:rPr>
        <w:t>.  Par un arrêt déposé au greffe le 17 avril 1997, le tribunal de Macerata : 1)</w:t>
      </w:r>
      <w:r w:rsidR="000202ED" w:rsidRPr="00F40FBE">
        <w:rPr>
          <w:lang w:val="fr-FR"/>
        </w:rPr>
        <w:t>  </w:t>
      </w:r>
      <w:r w:rsidRPr="00F40FBE">
        <w:rPr>
          <w:lang w:val="fr-FR"/>
        </w:rPr>
        <w:t>constata que le requérant et le commissaire avaient signé une transaction reconnaissant l</w:t>
      </w:r>
      <w:r w:rsidR="00F40FBE" w:rsidRPr="00F40FBE">
        <w:rPr>
          <w:lang w:val="fr-FR"/>
        </w:rPr>
        <w:t>’</w:t>
      </w:r>
      <w:r w:rsidRPr="00F40FBE">
        <w:rPr>
          <w:lang w:val="fr-FR"/>
        </w:rPr>
        <w:t>existence d</w:t>
      </w:r>
      <w:r w:rsidR="00F40FBE" w:rsidRPr="00F40FBE">
        <w:rPr>
          <w:lang w:val="fr-FR"/>
        </w:rPr>
        <w:t>’</w:t>
      </w:r>
      <w:r w:rsidRPr="00F40FBE">
        <w:rPr>
          <w:lang w:val="fr-FR"/>
        </w:rPr>
        <w:t xml:space="preserve">une créance de 285 000 000 </w:t>
      </w:r>
      <w:r w:rsidR="000202ED" w:rsidRPr="00F40FBE">
        <w:rPr>
          <w:lang w:val="fr-FR"/>
        </w:rPr>
        <w:t>ITL</w:t>
      </w:r>
      <w:r w:rsidR="005555FC" w:rsidRPr="00F40FBE">
        <w:rPr>
          <w:lang w:val="fr-FR"/>
        </w:rPr>
        <w:t xml:space="preserve"> (soit 129 114,28 EUR)</w:t>
      </w:r>
      <w:r w:rsidRPr="00F40FBE">
        <w:rPr>
          <w:lang w:val="fr-FR"/>
        </w:rPr>
        <w:t> ; 2)</w:t>
      </w:r>
      <w:r w:rsidR="000202ED" w:rsidRPr="00F40FBE">
        <w:rPr>
          <w:lang w:val="fr-FR"/>
        </w:rPr>
        <w:t>  </w:t>
      </w:r>
      <w:r w:rsidRPr="00F40FBE">
        <w:rPr>
          <w:lang w:val="fr-FR"/>
        </w:rPr>
        <w:t>accueillit la demande du requérant ; 3)</w:t>
      </w:r>
      <w:r w:rsidR="000202ED" w:rsidRPr="00F40FBE">
        <w:rPr>
          <w:lang w:val="fr-FR"/>
        </w:rPr>
        <w:t>  </w:t>
      </w:r>
      <w:r w:rsidRPr="00F40FBE">
        <w:rPr>
          <w:lang w:val="fr-FR"/>
        </w:rPr>
        <w:t>modifia l</w:t>
      </w:r>
      <w:r w:rsidR="00F40FBE" w:rsidRPr="00F40FBE">
        <w:rPr>
          <w:lang w:val="fr-FR"/>
        </w:rPr>
        <w:t>’</w:t>
      </w:r>
      <w:r w:rsidRPr="00F40FBE">
        <w:rPr>
          <w:lang w:val="fr-FR"/>
        </w:rPr>
        <w:t>état des créances.</w:t>
      </w:r>
    </w:p>
    <w:bookmarkStart w:id="1" w:name="Informations_observations_requérant"/>
    <w:p w:rsidR="00E76AF3" w:rsidRPr="00F40FBE" w:rsidRDefault="00A900E2"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11</w:t>
      </w:r>
      <w:r w:rsidRPr="00F40FBE">
        <w:rPr>
          <w:lang w:val="fr-FR"/>
        </w:rPr>
        <w:fldChar w:fldCharType="end"/>
      </w:r>
      <w:bookmarkEnd w:id="1"/>
      <w:r w:rsidRPr="00F40FBE">
        <w:rPr>
          <w:lang w:val="fr-FR"/>
        </w:rPr>
        <w:t>.  </w:t>
      </w:r>
      <w:r w:rsidR="000673DF" w:rsidRPr="00F40FBE">
        <w:rPr>
          <w:lang w:val="fr-FR"/>
        </w:rPr>
        <w:t>Selon les informations fournies à la Cour par l</w:t>
      </w:r>
      <w:r w:rsidRPr="00F40FBE">
        <w:rPr>
          <w:lang w:val="fr-FR"/>
        </w:rPr>
        <w:t>e requérant</w:t>
      </w:r>
      <w:r w:rsidR="000673DF" w:rsidRPr="00F40FBE">
        <w:rPr>
          <w:lang w:val="fr-FR"/>
        </w:rPr>
        <w:t xml:space="preserve"> le 24</w:t>
      </w:r>
      <w:r w:rsidR="00920445" w:rsidRPr="00F40FBE">
        <w:rPr>
          <w:lang w:val="fr-FR"/>
        </w:rPr>
        <w:t> </w:t>
      </w:r>
      <w:r w:rsidR="000673DF" w:rsidRPr="00F40FBE">
        <w:rPr>
          <w:lang w:val="fr-FR"/>
        </w:rPr>
        <w:t>décembre 2010</w:t>
      </w:r>
      <w:r w:rsidR="00F64306" w:rsidRPr="00F40FBE">
        <w:rPr>
          <w:lang w:val="fr-FR"/>
        </w:rPr>
        <w:t>,</w:t>
      </w:r>
      <w:r w:rsidR="000673DF" w:rsidRPr="00F40FBE">
        <w:rPr>
          <w:lang w:val="fr-FR"/>
        </w:rPr>
        <w:t xml:space="preserve"> </w:t>
      </w:r>
      <w:r w:rsidR="004216CD" w:rsidRPr="00F40FBE">
        <w:rPr>
          <w:lang w:val="fr-FR"/>
        </w:rPr>
        <w:t xml:space="preserve">et </w:t>
      </w:r>
      <w:r w:rsidR="000673DF" w:rsidRPr="00F40FBE">
        <w:rPr>
          <w:lang w:val="fr-FR"/>
        </w:rPr>
        <w:t xml:space="preserve">non </w:t>
      </w:r>
      <w:r w:rsidR="00E76AF3" w:rsidRPr="00F40FBE">
        <w:rPr>
          <w:lang w:val="fr-FR"/>
        </w:rPr>
        <w:t>démenties</w:t>
      </w:r>
      <w:r w:rsidR="000673DF" w:rsidRPr="00F40FBE">
        <w:rPr>
          <w:lang w:val="fr-FR"/>
        </w:rPr>
        <w:t xml:space="preserve"> par le Gouvernement, </w:t>
      </w:r>
      <w:r w:rsidRPr="00F40FBE">
        <w:rPr>
          <w:lang w:val="fr-FR"/>
        </w:rPr>
        <w:t xml:space="preserve">la procédure de liquidation </w:t>
      </w:r>
      <w:r w:rsidR="000673DF" w:rsidRPr="00F40FBE">
        <w:rPr>
          <w:lang w:val="fr-FR"/>
        </w:rPr>
        <w:t>était</w:t>
      </w:r>
      <w:r w:rsidR="00E76AF3" w:rsidRPr="00F40FBE">
        <w:rPr>
          <w:lang w:val="fr-FR"/>
        </w:rPr>
        <w:t xml:space="preserve"> à cette date</w:t>
      </w:r>
      <w:r w:rsidR="00F64306" w:rsidRPr="00F40FBE">
        <w:rPr>
          <w:lang w:val="fr-FR"/>
        </w:rPr>
        <w:t xml:space="preserve"> toujours en cours</w:t>
      </w:r>
      <w:r w:rsidR="00123AE6" w:rsidRPr="00F40FBE">
        <w:rPr>
          <w:lang w:val="fr-FR"/>
        </w:rPr>
        <w:t>.</w:t>
      </w:r>
    </w:p>
    <w:p w:rsidR="00F84635" w:rsidRPr="00F40FBE" w:rsidRDefault="00E76AF3"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12</w:t>
      </w:r>
      <w:r w:rsidRPr="00F40FBE">
        <w:rPr>
          <w:lang w:val="fr-FR"/>
        </w:rPr>
        <w:fldChar w:fldCharType="end"/>
      </w:r>
      <w:r w:rsidRPr="00F40FBE">
        <w:rPr>
          <w:lang w:val="fr-FR"/>
        </w:rPr>
        <w:t>.  Le requérant</w:t>
      </w:r>
      <w:r w:rsidR="00A900E2" w:rsidRPr="00F40FBE">
        <w:rPr>
          <w:lang w:val="fr-FR"/>
        </w:rPr>
        <w:t xml:space="preserve"> n</w:t>
      </w:r>
      <w:r w:rsidR="00F40FBE" w:rsidRPr="00F40FBE">
        <w:rPr>
          <w:lang w:val="fr-FR"/>
        </w:rPr>
        <w:t>’</w:t>
      </w:r>
      <w:r w:rsidR="00A900E2" w:rsidRPr="00F40FBE">
        <w:rPr>
          <w:lang w:val="fr-FR"/>
        </w:rPr>
        <w:t xml:space="preserve">a pas entamé de </w:t>
      </w:r>
      <w:r w:rsidR="004216CD" w:rsidRPr="00F40FBE">
        <w:rPr>
          <w:lang w:val="fr-FR"/>
        </w:rPr>
        <w:t>« </w:t>
      </w:r>
      <w:r w:rsidR="00A900E2" w:rsidRPr="00F40FBE">
        <w:rPr>
          <w:lang w:val="fr-FR"/>
        </w:rPr>
        <w:t>procédure Pinto</w:t>
      </w:r>
      <w:r w:rsidR="004216CD" w:rsidRPr="00F40FBE">
        <w:rPr>
          <w:lang w:val="fr-FR"/>
        </w:rPr>
        <w:t> »</w:t>
      </w:r>
      <w:r w:rsidR="00A900E2" w:rsidRPr="00F40FBE">
        <w:rPr>
          <w:lang w:val="fr-FR"/>
        </w:rPr>
        <w:t xml:space="preserve"> au motif que la Cour de cassation </w:t>
      </w:r>
      <w:r w:rsidR="00536AC9" w:rsidRPr="00F40FBE">
        <w:rPr>
          <w:lang w:val="fr-FR"/>
        </w:rPr>
        <w:t xml:space="preserve">aurait </w:t>
      </w:r>
      <w:r w:rsidR="00A900E2" w:rsidRPr="00F40FBE">
        <w:rPr>
          <w:lang w:val="fr-FR"/>
        </w:rPr>
        <w:t>estim</w:t>
      </w:r>
      <w:r w:rsidR="00536AC9" w:rsidRPr="00F40FBE">
        <w:rPr>
          <w:lang w:val="fr-FR"/>
        </w:rPr>
        <w:t>é</w:t>
      </w:r>
      <w:r w:rsidR="00A900E2" w:rsidRPr="00F40FBE">
        <w:rPr>
          <w:lang w:val="fr-FR"/>
        </w:rPr>
        <w:t xml:space="preserve"> </w:t>
      </w:r>
      <w:r w:rsidR="00332CD2" w:rsidRPr="00F40FBE">
        <w:rPr>
          <w:lang w:val="fr-FR"/>
        </w:rPr>
        <w:t>la loi n</w:t>
      </w:r>
      <w:r w:rsidR="00927822" w:rsidRPr="00F40FBE">
        <w:rPr>
          <w:vertAlign w:val="superscript"/>
          <w:lang w:val="fr-FR"/>
        </w:rPr>
        <w:t>o</w:t>
      </w:r>
      <w:r w:rsidR="00332CD2" w:rsidRPr="00F40FBE">
        <w:rPr>
          <w:lang w:val="fr-FR"/>
        </w:rPr>
        <w:t xml:space="preserve"> 89 du 24 mars 2001, dite « loi Pinto », </w:t>
      </w:r>
      <w:r w:rsidR="00A900E2" w:rsidRPr="00F40FBE">
        <w:rPr>
          <w:lang w:val="fr-FR"/>
        </w:rPr>
        <w:t>inapplicable aux procédures de liquidation administrative.</w:t>
      </w:r>
    </w:p>
    <w:p w:rsidR="00A4581E" w:rsidRPr="00F40FBE" w:rsidRDefault="005547F5" w:rsidP="00F40FBE">
      <w:pPr>
        <w:pStyle w:val="ECHRHeading1"/>
        <w:rPr>
          <w:lang w:val="fr-FR"/>
        </w:rPr>
      </w:pPr>
      <w:r w:rsidRPr="00F40FBE">
        <w:rPr>
          <w:lang w:val="fr-FR"/>
        </w:rPr>
        <w:t>II</w:t>
      </w:r>
      <w:r w:rsidR="00A4581E" w:rsidRPr="00F40FBE">
        <w:rPr>
          <w:lang w:val="fr-FR"/>
        </w:rPr>
        <w:t>.  L</w:t>
      </w:r>
      <w:r w:rsidR="007246C2" w:rsidRPr="00F40FBE">
        <w:rPr>
          <w:lang w:val="fr-FR"/>
        </w:rPr>
        <w:t>E DROIT ET LA PRATIQUE INTERNES PERTINENTS</w:t>
      </w:r>
    </w:p>
    <w:p w:rsidR="00A4581E" w:rsidRPr="00F40FBE" w:rsidRDefault="0045155D" w:rsidP="00F40FBE">
      <w:pPr>
        <w:pStyle w:val="ECHRHeading2"/>
        <w:rPr>
          <w:lang w:val="fr-FR"/>
        </w:rPr>
      </w:pPr>
      <w:r w:rsidRPr="00F40FBE">
        <w:rPr>
          <w:lang w:val="fr-FR"/>
        </w:rPr>
        <w:t>A</w:t>
      </w:r>
      <w:r w:rsidR="00A4581E" w:rsidRPr="00F40FBE">
        <w:rPr>
          <w:lang w:val="fr-FR"/>
        </w:rPr>
        <w:t>.</w:t>
      </w:r>
      <w:r w:rsidR="00536AC9" w:rsidRPr="00F40FBE">
        <w:rPr>
          <w:lang w:val="fr-FR"/>
        </w:rPr>
        <w:t>  </w:t>
      </w:r>
      <w:r w:rsidR="00A4581E" w:rsidRPr="00F40FBE">
        <w:rPr>
          <w:lang w:val="fr-FR"/>
        </w:rPr>
        <w:t>La procédure de liquidation administrative</w:t>
      </w:r>
    </w:p>
    <w:bookmarkStart w:id="2" w:name="discipline_liquidation_administrative"/>
    <w:p w:rsidR="00927822" w:rsidRPr="00F40FBE" w:rsidRDefault="00A4581E"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13</w:t>
      </w:r>
      <w:r w:rsidRPr="00F40FBE">
        <w:rPr>
          <w:lang w:val="fr-FR"/>
        </w:rPr>
        <w:fldChar w:fldCharType="end"/>
      </w:r>
      <w:bookmarkEnd w:id="2"/>
      <w:r w:rsidRPr="00F40FBE">
        <w:rPr>
          <w:lang w:val="fr-FR"/>
        </w:rPr>
        <w:t>.  La procédure de liquidation administrative est réglementée par le décret royal n</w:t>
      </w:r>
      <w:r w:rsidRPr="00F40FBE">
        <w:rPr>
          <w:vertAlign w:val="superscript"/>
          <w:lang w:val="fr-FR"/>
        </w:rPr>
        <w:t>o</w:t>
      </w:r>
      <w:r w:rsidRPr="00F40FBE">
        <w:rPr>
          <w:lang w:val="fr-FR"/>
        </w:rPr>
        <w:t xml:space="preserve"> 267 du 16 mars 1942 (indiqué </w:t>
      </w:r>
      <w:r w:rsidR="00536AC9" w:rsidRPr="00F40FBE">
        <w:rPr>
          <w:lang w:val="fr-FR"/>
        </w:rPr>
        <w:t xml:space="preserve">ci-après </w:t>
      </w:r>
      <w:r w:rsidR="004216CD" w:rsidRPr="00F40FBE">
        <w:rPr>
          <w:lang w:val="fr-FR"/>
        </w:rPr>
        <w:t xml:space="preserve">par les termes </w:t>
      </w:r>
      <w:r w:rsidRPr="00F40FBE">
        <w:rPr>
          <w:lang w:val="fr-FR"/>
        </w:rPr>
        <w:t>« loi de la faillite »). Elle s</w:t>
      </w:r>
      <w:r w:rsidR="00F40FBE" w:rsidRPr="00F40FBE">
        <w:rPr>
          <w:lang w:val="fr-FR"/>
        </w:rPr>
        <w:t>’</w:t>
      </w:r>
      <w:r w:rsidRPr="00F40FBE">
        <w:rPr>
          <w:lang w:val="fr-FR"/>
        </w:rPr>
        <w:t>applique aux compagnies d</w:t>
      </w:r>
      <w:r w:rsidR="00F40FBE" w:rsidRPr="00F40FBE">
        <w:rPr>
          <w:lang w:val="fr-FR"/>
        </w:rPr>
        <w:t>’</w:t>
      </w:r>
      <w:r w:rsidRPr="00F40FBE">
        <w:rPr>
          <w:lang w:val="fr-FR"/>
        </w:rPr>
        <w:t>assurances, aux banques et aux sociétés coopératives, entreprises normalement soumises à un contrôle de la part de l</w:t>
      </w:r>
      <w:r w:rsidR="00F40FBE" w:rsidRPr="00F40FBE">
        <w:rPr>
          <w:lang w:val="fr-FR"/>
        </w:rPr>
        <w:t>’</w:t>
      </w:r>
      <w:r w:rsidR="00264B88" w:rsidRPr="00F40FBE">
        <w:rPr>
          <w:lang w:val="fr-FR"/>
        </w:rPr>
        <w:t>État</w:t>
      </w:r>
      <w:r w:rsidRPr="00F40FBE">
        <w:rPr>
          <w:lang w:val="fr-FR"/>
        </w:rPr>
        <w:t xml:space="preserve"> en raison d</w:t>
      </w:r>
      <w:r w:rsidR="00264B88" w:rsidRPr="00F40FBE">
        <w:rPr>
          <w:lang w:val="fr-FR"/>
        </w:rPr>
        <w:t>u caractère d</w:t>
      </w:r>
      <w:r w:rsidR="00F40FBE" w:rsidRPr="00F40FBE">
        <w:rPr>
          <w:lang w:val="fr-FR"/>
        </w:rPr>
        <w:t>’</w:t>
      </w:r>
      <w:r w:rsidRPr="00F40FBE">
        <w:rPr>
          <w:lang w:val="fr-FR"/>
        </w:rPr>
        <w:t>intérêt général de leur activité.</w:t>
      </w:r>
    </w:p>
    <w:p w:rsidR="00A4581E" w:rsidRPr="00F40FBE" w:rsidRDefault="00A4581E" w:rsidP="00F40FBE">
      <w:pPr>
        <w:pStyle w:val="ECHRPara"/>
        <w:rPr>
          <w:lang w:val="fr-FR"/>
        </w:rPr>
      </w:pPr>
      <w:r w:rsidRPr="00F40FBE">
        <w:rPr>
          <w:lang w:val="fr-FR"/>
        </w:rPr>
        <w:t xml:space="preserve">La mise en liquidation est précédée </w:t>
      </w:r>
      <w:r w:rsidR="00536AC9" w:rsidRPr="00F40FBE">
        <w:rPr>
          <w:lang w:val="fr-FR"/>
        </w:rPr>
        <w:t xml:space="preserve">de </w:t>
      </w:r>
      <w:r w:rsidR="00123AE6" w:rsidRPr="00F40FBE">
        <w:rPr>
          <w:lang w:val="fr-FR"/>
        </w:rPr>
        <w:t>la déclaration du</w:t>
      </w:r>
      <w:r w:rsidRPr="00F40FBE">
        <w:rPr>
          <w:lang w:val="fr-FR"/>
        </w:rPr>
        <w:t xml:space="preserve"> tribunal civil</w:t>
      </w:r>
      <w:r w:rsidR="00123AE6" w:rsidRPr="00F40FBE">
        <w:rPr>
          <w:lang w:val="fr-FR"/>
        </w:rPr>
        <w:t xml:space="preserve"> indiquant </w:t>
      </w:r>
      <w:r w:rsidRPr="00F40FBE">
        <w:rPr>
          <w:lang w:val="fr-FR"/>
        </w:rPr>
        <w:t>que l</w:t>
      </w:r>
      <w:r w:rsidR="00F40FBE" w:rsidRPr="00F40FBE">
        <w:rPr>
          <w:lang w:val="fr-FR"/>
        </w:rPr>
        <w:t>’</w:t>
      </w:r>
      <w:r w:rsidRPr="00F40FBE">
        <w:rPr>
          <w:lang w:val="fr-FR"/>
        </w:rPr>
        <w:t xml:space="preserve">entreprise est en état de cessation de paiements. </w:t>
      </w:r>
      <w:r w:rsidR="00FA5BBC" w:rsidRPr="00F40FBE">
        <w:rPr>
          <w:lang w:val="fr-FR"/>
        </w:rPr>
        <w:t>La déc</w:t>
      </w:r>
      <w:r w:rsidR="00937A6E" w:rsidRPr="00F40FBE">
        <w:rPr>
          <w:lang w:val="fr-FR"/>
        </w:rPr>
        <w:t>laration du tribunal est</w:t>
      </w:r>
      <w:r w:rsidR="00FA5BBC" w:rsidRPr="00F40FBE">
        <w:rPr>
          <w:lang w:val="fr-FR"/>
        </w:rPr>
        <w:t xml:space="preserve"> par la suite transmise à </w:t>
      </w:r>
      <w:r w:rsidRPr="00F40FBE">
        <w:rPr>
          <w:lang w:val="fr-FR"/>
        </w:rPr>
        <w:t>l</w:t>
      </w:r>
      <w:r w:rsidR="00F40FBE" w:rsidRPr="00F40FBE">
        <w:rPr>
          <w:lang w:val="fr-FR"/>
        </w:rPr>
        <w:t>’</w:t>
      </w:r>
      <w:r w:rsidRPr="00F40FBE">
        <w:rPr>
          <w:lang w:val="fr-FR"/>
        </w:rPr>
        <w:t>autorité administrative</w:t>
      </w:r>
      <w:r w:rsidR="0057295A" w:rsidRPr="00F40FBE">
        <w:rPr>
          <w:lang w:val="fr-FR"/>
        </w:rPr>
        <w:t xml:space="preserve"> (</w:t>
      </w:r>
      <w:r w:rsidR="0057295A" w:rsidRPr="00F40FBE">
        <w:rPr>
          <w:i/>
          <w:lang w:val="fr-FR"/>
        </w:rPr>
        <w:t>autorità amministrativa di vigilanza</w:t>
      </w:r>
      <w:r w:rsidR="0057295A" w:rsidRPr="00F40FBE">
        <w:rPr>
          <w:lang w:val="fr-FR"/>
        </w:rPr>
        <w:t>)</w:t>
      </w:r>
      <w:r w:rsidRPr="00F40FBE">
        <w:rPr>
          <w:lang w:val="fr-FR"/>
        </w:rPr>
        <w:t xml:space="preserve"> </w:t>
      </w:r>
      <w:r w:rsidR="004216CD" w:rsidRPr="00F40FBE">
        <w:rPr>
          <w:lang w:val="fr-FR"/>
        </w:rPr>
        <w:t>à laquelle est rattachée</w:t>
      </w:r>
      <w:r w:rsidRPr="00F40FBE">
        <w:rPr>
          <w:lang w:val="fr-FR"/>
        </w:rPr>
        <w:t xml:space="preserve"> l</w:t>
      </w:r>
      <w:r w:rsidR="00F40FBE" w:rsidRPr="00F40FBE">
        <w:rPr>
          <w:lang w:val="fr-FR"/>
        </w:rPr>
        <w:t>’</w:t>
      </w:r>
      <w:r w:rsidRPr="00F40FBE">
        <w:rPr>
          <w:lang w:val="fr-FR"/>
        </w:rPr>
        <w:t xml:space="preserve">entreprise </w:t>
      </w:r>
      <w:r w:rsidR="0057295A" w:rsidRPr="00F40FBE">
        <w:rPr>
          <w:lang w:val="fr-FR"/>
        </w:rPr>
        <w:t>concernée</w:t>
      </w:r>
      <w:r w:rsidR="004216CD" w:rsidRPr="00F40FBE">
        <w:rPr>
          <w:lang w:val="fr-FR"/>
        </w:rPr>
        <w:t xml:space="preserve"> eu égard à son activité</w:t>
      </w:r>
      <w:r w:rsidR="00937A6E" w:rsidRPr="00F40FBE">
        <w:rPr>
          <w:lang w:val="fr-FR"/>
        </w:rPr>
        <w:t>, qui prononce la mise en liquidation</w:t>
      </w:r>
      <w:r w:rsidRPr="00F40FBE">
        <w:rPr>
          <w:lang w:val="fr-FR"/>
        </w:rPr>
        <w:t>. La procédure est dirigée par un ou trois commissaires liquidateurs</w:t>
      </w:r>
      <w:r w:rsidR="00536AC9" w:rsidRPr="00F40FBE">
        <w:rPr>
          <w:lang w:val="fr-FR"/>
        </w:rPr>
        <w:t>,</w:t>
      </w:r>
      <w:r w:rsidRPr="00F40FBE">
        <w:rPr>
          <w:lang w:val="fr-FR"/>
        </w:rPr>
        <w:t xml:space="preserve"> qui</w:t>
      </w:r>
      <w:r w:rsidR="00536AC9" w:rsidRPr="00F40FBE">
        <w:rPr>
          <w:lang w:val="fr-FR"/>
        </w:rPr>
        <w:t>,</w:t>
      </w:r>
      <w:r w:rsidRPr="00F40FBE">
        <w:rPr>
          <w:lang w:val="fr-FR"/>
        </w:rPr>
        <w:t xml:space="preserve"> dans l</w:t>
      </w:r>
      <w:r w:rsidR="00F40FBE" w:rsidRPr="00F40FBE">
        <w:rPr>
          <w:lang w:val="fr-FR"/>
        </w:rPr>
        <w:t>’</w:t>
      </w:r>
      <w:r w:rsidRPr="00F40FBE">
        <w:rPr>
          <w:lang w:val="fr-FR"/>
        </w:rPr>
        <w:t>exercice de leurs fonctions</w:t>
      </w:r>
      <w:r w:rsidR="00536AC9" w:rsidRPr="00F40FBE">
        <w:rPr>
          <w:lang w:val="fr-FR"/>
        </w:rPr>
        <w:t>,</w:t>
      </w:r>
      <w:r w:rsidRPr="00F40FBE">
        <w:rPr>
          <w:lang w:val="fr-FR"/>
        </w:rPr>
        <w:t xml:space="preserve"> sont assimilés à des officiers publics (articles 198 et 199 §</w:t>
      </w:r>
      <w:r w:rsidR="00123AE6" w:rsidRPr="00F40FBE">
        <w:rPr>
          <w:lang w:val="fr-FR"/>
        </w:rPr>
        <w:t xml:space="preserve"> </w:t>
      </w:r>
      <w:r w:rsidRPr="00F40FBE">
        <w:rPr>
          <w:lang w:val="fr-FR"/>
        </w:rPr>
        <w:t xml:space="preserve">1 de la loi de la faillite). </w:t>
      </w:r>
      <w:r w:rsidR="00536AC9" w:rsidRPr="00F40FBE">
        <w:rPr>
          <w:lang w:val="fr-FR"/>
        </w:rPr>
        <w:t xml:space="preserve">Ces commissaires </w:t>
      </w:r>
      <w:r w:rsidRPr="00F40FBE">
        <w:rPr>
          <w:lang w:val="fr-FR"/>
        </w:rPr>
        <w:t>sont soumis au contrôle de l</w:t>
      </w:r>
      <w:r w:rsidR="00F40FBE" w:rsidRPr="00F40FBE">
        <w:rPr>
          <w:lang w:val="fr-FR"/>
        </w:rPr>
        <w:t>’</w:t>
      </w:r>
      <w:r w:rsidRPr="00F40FBE">
        <w:rPr>
          <w:lang w:val="fr-FR"/>
        </w:rPr>
        <w:t>autorité administrative</w:t>
      </w:r>
      <w:r w:rsidR="006427A2" w:rsidRPr="00F40FBE">
        <w:rPr>
          <w:lang w:val="fr-FR"/>
        </w:rPr>
        <w:t xml:space="preserve"> compétente</w:t>
      </w:r>
      <w:r w:rsidRPr="00F40FBE">
        <w:rPr>
          <w:lang w:val="fr-FR"/>
        </w:rPr>
        <w:t>.</w:t>
      </w:r>
    </w:p>
    <w:p w:rsidR="00A4581E" w:rsidRPr="00F40FBE" w:rsidRDefault="00A4581E"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14</w:t>
      </w:r>
      <w:r w:rsidRPr="00F40FBE">
        <w:rPr>
          <w:lang w:val="fr-FR"/>
        </w:rPr>
        <w:fldChar w:fldCharType="end"/>
      </w:r>
      <w:r w:rsidRPr="00F40FBE">
        <w:rPr>
          <w:lang w:val="fr-FR"/>
        </w:rPr>
        <w:t>.  Au cours de la procédure de liquidation administrative, aucun créancier ne peut introduire devant le</w:t>
      </w:r>
      <w:r w:rsidR="008B36A0" w:rsidRPr="00F40FBE">
        <w:rPr>
          <w:lang w:val="fr-FR"/>
        </w:rPr>
        <w:t xml:space="preserve"> juge judiciaire</w:t>
      </w:r>
      <w:r w:rsidRPr="00F40FBE">
        <w:rPr>
          <w:lang w:val="fr-FR"/>
        </w:rPr>
        <w:t xml:space="preserve"> des demandes individuelles en exécution visant à attaquer directement le patrimoine de la société débitrice (articles 201 et 51 de la loi de la faillite). Toute créance, même privilégiée, doit être d</w:t>
      </w:r>
      <w:r w:rsidR="00F40FBE" w:rsidRPr="00F40FBE">
        <w:rPr>
          <w:lang w:val="fr-FR"/>
        </w:rPr>
        <w:t>’</w:t>
      </w:r>
      <w:r w:rsidRPr="00F40FBE">
        <w:rPr>
          <w:lang w:val="fr-FR"/>
        </w:rPr>
        <w:t xml:space="preserve">abord vérifiée selon la procédure arrêtée aux </w:t>
      </w:r>
      <w:r w:rsidRPr="00F40FBE">
        <w:rPr>
          <w:lang w:val="fr-FR"/>
        </w:rPr>
        <w:lastRenderedPageBreak/>
        <w:t>articles 207 et 209 de la loi de la faillite, qui, en leurs parties pertinentes</w:t>
      </w:r>
      <w:r w:rsidR="00642401" w:rsidRPr="00F40FBE">
        <w:rPr>
          <w:lang w:val="fr-FR"/>
        </w:rPr>
        <w:t xml:space="preserve"> en l</w:t>
      </w:r>
      <w:r w:rsidR="00F40FBE" w:rsidRPr="00F40FBE">
        <w:rPr>
          <w:lang w:val="fr-FR"/>
        </w:rPr>
        <w:t>’</w:t>
      </w:r>
      <w:r w:rsidR="00642401" w:rsidRPr="00F40FBE">
        <w:rPr>
          <w:lang w:val="fr-FR"/>
        </w:rPr>
        <w:t>espèce</w:t>
      </w:r>
      <w:r w:rsidRPr="00F40FBE">
        <w:rPr>
          <w:lang w:val="fr-FR"/>
        </w:rPr>
        <w:t>, se lisent ainsi :</w:t>
      </w:r>
    </w:p>
    <w:p w:rsidR="00A4581E" w:rsidRPr="00F40FBE" w:rsidRDefault="00A4581E" w:rsidP="00F40FBE">
      <w:pPr>
        <w:pStyle w:val="ECHRParaQuote"/>
        <w:rPr>
          <w:lang w:val="fr-FR"/>
        </w:rPr>
      </w:pPr>
      <w:r w:rsidRPr="00F40FBE">
        <w:rPr>
          <w:lang w:val="fr-FR"/>
        </w:rPr>
        <w:t>« Dans un délai d</w:t>
      </w:r>
      <w:r w:rsidR="00F40FBE" w:rsidRPr="00F40FBE">
        <w:rPr>
          <w:lang w:val="fr-FR"/>
        </w:rPr>
        <w:t>’</w:t>
      </w:r>
      <w:r w:rsidRPr="00F40FBE">
        <w:rPr>
          <w:lang w:val="fr-FR"/>
        </w:rPr>
        <w:t xml:space="preserve">un mois à </w:t>
      </w:r>
      <w:r w:rsidR="00E66B1F" w:rsidRPr="00F40FBE">
        <w:rPr>
          <w:lang w:val="fr-FR"/>
        </w:rPr>
        <w:t xml:space="preserve">compter </w:t>
      </w:r>
      <w:r w:rsidRPr="00F40FBE">
        <w:rPr>
          <w:lang w:val="fr-FR"/>
        </w:rPr>
        <w:t xml:space="preserve">de sa nomination, le commissaire liquidateur communique à chaque créancier (...) le montant de sa créance </w:t>
      </w:r>
      <w:r w:rsidR="00E66B1F" w:rsidRPr="00F40FBE">
        <w:rPr>
          <w:lang w:val="fr-FR"/>
        </w:rPr>
        <w:t xml:space="preserve">déterminé à partir </w:t>
      </w:r>
      <w:r w:rsidRPr="00F40FBE">
        <w:rPr>
          <w:lang w:val="fr-FR"/>
        </w:rPr>
        <w:t>des documents comptables de l</w:t>
      </w:r>
      <w:r w:rsidR="00F40FBE" w:rsidRPr="00F40FBE">
        <w:rPr>
          <w:lang w:val="fr-FR"/>
        </w:rPr>
        <w:t>’</w:t>
      </w:r>
      <w:r w:rsidRPr="00F40FBE">
        <w:rPr>
          <w:lang w:val="fr-FR"/>
        </w:rPr>
        <w:t xml:space="preserve">entreprise (...). Dans un délai de quinze jours à </w:t>
      </w:r>
      <w:r w:rsidR="00E66B1F" w:rsidRPr="00F40FBE">
        <w:rPr>
          <w:lang w:val="fr-FR"/>
        </w:rPr>
        <w:t xml:space="preserve">compter </w:t>
      </w:r>
      <w:r w:rsidRPr="00F40FBE">
        <w:rPr>
          <w:lang w:val="fr-FR"/>
        </w:rPr>
        <w:t xml:space="preserve">de la réception de la communication susmentionnée, les créanciers (...) peuvent adresser au commissaire des observations ou </w:t>
      </w:r>
      <w:r w:rsidR="00123AE6" w:rsidRPr="00F40FBE">
        <w:rPr>
          <w:lang w:val="fr-FR"/>
        </w:rPr>
        <w:t xml:space="preserve">des </w:t>
      </w:r>
      <w:r w:rsidRPr="00F40FBE">
        <w:rPr>
          <w:lang w:val="fr-FR"/>
        </w:rPr>
        <w:t>demandes.</w:t>
      </w:r>
    </w:p>
    <w:p w:rsidR="00A4581E" w:rsidRPr="00F40FBE" w:rsidRDefault="00A4581E" w:rsidP="00F40FBE">
      <w:pPr>
        <w:pStyle w:val="ECHRParaQuote"/>
        <w:rPr>
          <w:lang w:val="fr-FR"/>
        </w:rPr>
      </w:pPr>
      <w:r w:rsidRPr="00F40FBE">
        <w:rPr>
          <w:lang w:val="fr-FR"/>
        </w:rPr>
        <w:t>(...) Dans un délai de quatre-vingt-dix jours</w:t>
      </w:r>
      <w:r w:rsidR="00E66B1F" w:rsidRPr="00F40FBE">
        <w:rPr>
          <w:lang w:val="fr-FR"/>
        </w:rPr>
        <w:t>,</w:t>
      </w:r>
      <w:r w:rsidRPr="00F40FBE">
        <w:rPr>
          <w:lang w:val="fr-FR"/>
        </w:rPr>
        <w:t xml:space="preserve"> (...) le commissaire rédige un état des créances acceptées et rejetées (...) et le dépose au greffe du tribunal (...). </w:t>
      </w:r>
      <w:r w:rsidR="00E66B1F" w:rsidRPr="00F40FBE">
        <w:rPr>
          <w:rFonts w:cstheme="minorHAnsi"/>
          <w:lang w:val="fr-FR"/>
        </w:rPr>
        <w:t>Par le</w:t>
      </w:r>
      <w:r w:rsidRPr="00F40FBE">
        <w:rPr>
          <w:lang w:val="fr-FR"/>
        </w:rPr>
        <w:t xml:space="preserve"> dépôt au greffe, l</w:t>
      </w:r>
      <w:r w:rsidR="00F40FBE" w:rsidRPr="00F40FBE">
        <w:rPr>
          <w:lang w:val="fr-FR"/>
        </w:rPr>
        <w:t>’</w:t>
      </w:r>
      <w:r w:rsidRPr="00F40FBE">
        <w:rPr>
          <w:lang w:val="fr-FR"/>
        </w:rPr>
        <w:t>état des créances d</w:t>
      </w:r>
      <w:r w:rsidR="00163ACB" w:rsidRPr="00F40FBE">
        <w:rPr>
          <w:lang w:val="fr-FR"/>
        </w:rPr>
        <w:t>ev</w:t>
      </w:r>
      <w:r w:rsidRPr="00F40FBE">
        <w:rPr>
          <w:lang w:val="fr-FR"/>
        </w:rPr>
        <w:t>ie</w:t>
      </w:r>
      <w:r w:rsidR="00163ACB" w:rsidRPr="00F40FBE">
        <w:rPr>
          <w:lang w:val="fr-FR"/>
        </w:rPr>
        <w:t xml:space="preserve">nt </w:t>
      </w:r>
      <w:r w:rsidRPr="00F40FBE">
        <w:rPr>
          <w:lang w:val="fr-FR"/>
        </w:rPr>
        <w:t>exécutoire. »</w:t>
      </w:r>
    </w:p>
    <w:p w:rsidR="00A4581E" w:rsidRPr="00F40FBE" w:rsidRDefault="00A4581E" w:rsidP="00F40FBE">
      <w:pPr>
        <w:pStyle w:val="ECHRPara"/>
        <w:rPr>
          <w:spacing w:val="-2"/>
          <w:lang w:val="fr-FR"/>
        </w:rPr>
      </w:pPr>
      <w:r w:rsidRPr="00F40FBE">
        <w:rPr>
          <w:spacing w:val="-2"/>
          <w:lang w:val="fr-FR"/>
        </w:rPr>
        <w:fldChar w:fldCharType="begin"/>
      </w:r>
      <w:r w:rsidRPr="00F40FBE">
        <w:rPr>
          <w:spacing w:val="-2"/>
          <w:lang w:val="fr-FR"/>
        </w:rPr>
        <w:instrText xml:space="preserve"> SEQ level0 \*arabic </w:instrText>
      </w:r>
      <w:r w:rsidRPr="00F40FBE">
        <w:rPr>
          <w:spacing w:val="-2"/>
          <w:lang w:val="fr-FR"/>
        </w:rPr>
        <w:fldChar w:fldCharType="separate"/>
      </w:r>
      <w:r w:rsidR="00F40FBE" w:rsidRPr="00F40FBE">
        <w:rPr>
          <w:noProof/>
          <w:spacing w:val="-2"/>
          <w:lang w:val="fr-FR"/>
        </w:rPr>
        <w:t>15</w:t>
      </w:r>
      <w:r w:rsidRPr="00F40FBE">
        <w:rPr>
          <w:spacing w:val="-2"/>
          <w:lang w:val="fr-FR"/>
        </w:rPr>
        <w:fldChar w:fldCharType="end"/>
      </w:r>
      <w:r w:rsidRPr="00F40FBE">
        <w:rPr>
          <w:spacing w:val="-2"/>
          <w:lang w:val="fr-FR"/>
        </w:rPr>
        <w:t>.  Le(s) commissaire(s) se charge(nt) ensuite de la liquidation de l</w:t>
      </w:r>
      <w:r w:rsidR="00F40FBE" w:rsidRPr="00F40FBE">
        <w:rPr>
          <w:spacing w:val="-2"/>
          <w:lang w:val="fr-FR"/>
        </w:rPr>
        <w:t>’</w:t>
      </w:r>
      <w:r w:rsidRPr="00F40FBE">
        <w:rPr>
          <w:spacing w:val="-2"/>
          <w:lang w:val="fr-FR"/>
        </w:rPr>
        <w:t>actif (articles 210 et 211 de la loi de la faillite) et de la répartition aux créanciers des sommes obtenues (article 212 de la loi de la faillite).</w:t>
      </w:r>
      <w:r w:rsidR="00457F41" w:rsidRPr="00F40FBE">
        <w:rPr>
          <w:spacing w:val="-2"/>
          <w:lang w:val="fr-FR"/>
        </w:rPr>
        <w:t xml:space="preserve"> En particulier,</w:t>
      </w:r>
      <w:r w:rsidR="00CF70B0" w:rsidRPr="00F40FBE">
        <w:rPr>
          <w:spacing w:val="-2"/>
          <w:lang w:val="fr-FR"/>
        </w:rPr>
        <w:t xml:space="preserve"> </w:t>
      </w:r>
      <w:r w:rsidR="00457F41" w:rsidRPr="00F40FBE">
        <w:rPr>
          <w:spacing w:val="-2"/>
          <w:lang w:val="fr-FR"/>
        </w:rPr>
        <w:t xml:space="preserve">pour la vente de biens immeubles </w:t>
      </w:r>
      <w:r w:rsidR="00CF70B0" w:rsidRPr="00F40FBE">
        <w:rPr>
          <w:spacing w:val="-2"/>
          <w:lang w:val="fr-FR"/>
        </w:rPr>
        <w:t>ou</w:t>
      </w:r>
      <w:r w:rsidR="00457F41" w:rsidRPr="00F40FBE">
        <w:rPr>
          <w:spacing w:val="-2"/>
          <w:lang w:val="fr-FR"/>
        </w:rPr>
        <w:t xml:space="preserve"> </w:t>
      </w:r>
      <w:r w:rsidR="00CF70B0" w:rsidRPr="00F40FBE">
        <w:rPr>
          <w:spacing w:val="-2"/>
          <w:lang w:val="fr-FR"/>
        </w:rPr>
        <w:t>d</w:t>
      </w:r>
      <w:r w:rsidR="0053141F" w:rsidRPr="00F40FBE">
        <w:rPr>
          <w:spacing w:val="-2"/>
          <w:lang w:val="fr-FR"/>
        </w:rPr>
        <w:t>e l</w:t>
      </w:r>
      <w:r w:rsidR="00F40FBE" w:rsidRPr="00F40FBE">
        <w:rPr>
          <w:spacing w:val="-2"/>
          <w:lang w:val="fr-FR"/>
        </w:rPr>
        <w:t>’</w:t>
      </w:r>
      <w:r w:rsidR="0053141F" w:rsidRPr="00F40FBE">
        <w:rPr>
          <w:spacing w:val="-2"/>
          <w:lang w:val="fr-FR"/>
        </w:rPr>
        <w:t>ense</w:t>
      </w:r>
      <w:r w:rsidR="00CF70B0" w:rsidRPr="00F40FBE">
        <w:rPr>
          <w:spacing w:val="-2"/>
          <w:lang w:val="fr-FR"/>
        </w:rPr>
        <w:t xml:space="preserve">mble de biens </w:t>
      </w:r>
      <w:r w:rsidR="00457F41" w:rsidRPr="00F40FBE">
        <w:rPr>
          <w:spacing w:val="-2"/>
          <w:lang w:val="fr-FR"/>
        </w:rPr>
        <w:t>meubles</w:t>
      </w:r>
      <w:r w:rsidR="0053141F" w:rsidRPr="00F40FBE">
        <w:rPr>
          <w:spacing w:val="-2"/>
          <w:lang w:val="fr-FR"/>
        </w:rPr>
        <w:t xml:space="preserve"> faisant parties de l</w:t>
      </w:r>
      <w:r w:rsidR="00F40FBE" w:rsidRPr="00F40FBE">
        <w:rPr>
          <w:spacing w:val="-2"/>
          <w:lang w:val="fr-FR"/>
        </w:rPr>
        <w:t>’</w:t>
      </w:r>
      <w:r w:rsidR="0053141F" w:rsidRPr="00F40FBE">
        <w:rPr>
          <w:spacing w:val="-2"/>
          <w:lang w:val="fr-FR"/>
        </w:rPr>
        <w:t>actif</w:t>
      </w:r>
      <w:r w:rsidR="00CF70B0" w:rsidRPr="00F40FBE">
        <w:rPr>
          <w:spacing w:val="-2"/>
          <w:lang w:val="fr-FR"/>
        </w:rPr>
        <w:t>,</w:t>
      </w:r>
      <w:r w:rsidR="00457F41" w:rsidRPr="00F40FBE">
        <w:rPr>
          <w:spacing w:val="-2"/>
          <w:lang w:val="fr-FR"/>
        </w:rPr>
        <w:t xml:space="preserve"> </w:t>
      </w:r>
      <w:r w:rsidR="00CF70B0" w:rsidRPr="00F40FBE">
        <w:rPr>
          <w:spacing w:val="-2"/>
          <w:lang w:val="fr-FR"/>
        </w:rPr>
        <w:t>l</w:t>
      </w:r>
      <w:r w:rsidR="00F40FBE" w:rsidRPr="00F40FBE">
        <w:rPr>
          <w:spacing w:val="-2"/>
          <w:lang w:val="fr-FR"/>
        </w:rPr>
        <w:t>’</w:t>
      </w:r>
      <w:r w:rsidR="00CF70B0" w:rsidRPr="00F40FBE">
        <w:rPr>
          <w:spacing w:val="-2"/>
          <w:lang w:val="fr-FR"/>
        </w:rPr>
        <w:t xml:space="preserve">article 210 prévoit </w:t>
      </w:r>
      <w:r w:rsidR="00457F41" w:rsidRPr="00F40FBE">
        <w:rPr>
          <w:spacing w:val="-2"/>
          <w:lang w:val="fr-FR"/>
        </w:rPr>
        <w:t>l</w:t>
      </w:r>
      <w:r w:rsidR="00F40FBE" w:rsidRPr="00F40FBE">
        <w:rPr>
          <w:spacing w:val="-2"/>
          <w:lang w:val="fr-FR"/>
        </w:rPr>
        <w:t>’</w:t>
      </w:r>
      <w:r w:rsidR="00CF70B0" w:rsidRPr="00F40FBE">
        <w:rPr>
          <w:spacing w:val="-2"/>
          <w:lang w:val="fr-FR"/>
        </w:rPr>
        <w:t>obligation pour le(s)</w:t>
      </w:r>
      <w:r w:rsidR="00457F41" w:rsidRPr="00F40FBE">
        <w:rPr>
          <w:spacing w:val="-2"/>
          <w:lang w:val="fr-FR"/>
        </w:rPr>
        <w:t xml:space="preserve"> commissaire</w:t>
      </w:r>
      <w:r w:rsidR="00CF70B0" w:rsidRPr="00F40FBE">
        <w:rPr>
          <w:spacing w:val="-2"/>
          <w:lang w:val="fr-FR"/>
        </w:rPr>
        <w:t>(</w:t>
      </w:r>
      <w:r w:rsidR="00457F41" w:rsidRPr="00F40FBE">
        <w:rPr>
          <w:spacing w:val="-2"/>
          <w:lang w:val="fr-FR"/>
        </w:rPr>
        <w:t>s</w:t>
      </w:r>
      <w:r w:rsidR="00CF70B0" w:rsidRPr="00F40FBE">
        <w:rPr>
          <w:spacing w:val="-2"/>
          <w:lang w:val="fr-FR"/>
        </w:rPr>
        <w:t>)</w:t>
      </w:r>
      <w:r w:rsidR="00457F41" w:rsidRPr="00F40FBE">
        <w:rPr>
          <w:spacing w:val="-2"/>
          <w:lang w:val="fr-FR"/>
        </w:rPr>
        <w:t xml:space="preserve"> d</w:t>
      </w:r>
      <w:r w:rsidR="00CF70B0" w:rsidRPr="00F40FBE">
        <w:rPr>
          <w:spacing w:val="-2"/>
          <w:lang w:val="fr-FR"/>
        </w:rPr>
        <w:t>e demander</w:t>
      </w:r>
      <w:r w:rsidR="00457F41" w:rsidRPr="00F40FBE">
        <w:rPr>
          <w:spacing w:val="-2"/>
          <w:lang w:val="fr-FR"/>
        </w:rPr>
        <w:t xml:space="preserve"> l</w:t>
      </w:r>
      <w:r w:rsidR="00F40FBE" w:rsidRPr="00F40FBE">
        <w:rPr>
          <w:spacing w:val="-2"/>
          <w:lang w:val="fr-FR"/>
        </w:rPr>
        <w:t>’</w:t>
      </w:r>
      <w:r w:rsidR="00457F41" w:rsidRPr="00F40FBE">
        <w:rPr>
          <w:spacing w:val="-2"/>
          <w:lang w:val="fr-FR"/>
        </w:rPr>
        <w:t>autorisation</w:t>
      </w:r>
      <w:r w:rsidR="00CF70B0" w:rsidRPr="00F40FBE">
        <w:rPr>
          <w:spacing w:val="-2"/>
          <w:lang w:val="fr-FR"/>
        </w:rPr>
        <w:t xml:space="preserve"> préalable</w:t>
      </w:r>
      <w:r w:rsidR="00457F41" w:rsidRPr="00F40FBE">
        <w:rPr>
          <w:spacing w:val="-2"/>
          <w:lang w:val="fr-FR"/>
        </w:rPr>
        <w:t xml:space="preserve"> de l</w:t>
      </w:r>
      <w:r w:rsidR="00F40FBE" w:rsidRPr="00F40FBE">
        <w:rPr>
          <w:spacing w:val="-2"/>
          <w:lang w:val="fr-FR"/>
        </w:rPr>
        <w:t>’</w:t>
      </w:r>
      <w:r w:rsidR="00457F41" w:rsidRPr="00F40FBE">
        <w:rPr>
          <w:spacing w:val="-2"/>
          <w:lang w:val="fr-FR"/>
        </w:rPr>
        <w:t>autorité de vigilance.</w:t>
      </w:r>
      <w:r w:rsidRPr="00F40FBE">
        <w:rPr>
          <w:spacing w:val="-2"/>
          <w:lang w:val="fr-FR"/>
        </w:rPr>
        <w:t xml:space="preserve"> Les créances qui disposent d</w:t>
      </w:r>
      <w:r w:rsidR="00F40FBE" w:rsidRPr="00F40FBE">
        <w:rPr>
          <w:spacing w:val="-2"/>
          <w:lang w:val="fr-FR"/>
        </w:rPr>
        <w:t>’</w:t>
      </w:r>
      <w:r w:rsidRPr="00F40FBE">
        <w:rPr>
          <w:spacing w:val="-2"/>
          <w:lang w:val="fr-FR"/>
        </w:rPr>
        <w:t>un droit de préemption, dites privilégiées, sont payées en priorité. Les créanciers chirographaires</w:t>
      </w:r>
      <w:r w:rsidR="00642401" w:rsidRPr="00F40FBE">
        <w:rPr>
          <w:spacing w:val="-2"/>
          <w:lang w:val="fr-FR"/>
        </w:rPr>
        <w:t xml:space="preserve"> (qui ne disposent pas d</w:t>
      </w:r>
      <w:r w:rsidR="00F40FBE" w:rsidRPr="00F40FBE">
        <w:rPr>
          <w:spacing w:val="-2"/>
          <w:lang w:val="fr-FR"/>
        </w:rPr>
        <w:t>’</w:t>
      </w:r>
      <w:r w:rsidR="00642401" w:rsidRPr="00F40FBE">
        <w:rPr>
          <w:spacing w:val="-2"/>
          <w:lang w:val="fr-FR"/>
        </w:rPr>
        <w:t>un tel droit)</w:t>
      </w:r>
      <w:r w:rsidRPr="00F40FBE">
        <w:rPr>
          <w:spacing w:val="-2"/>
          <w:lang w:val="fr-FR"/>
        </w:rPr>
        <w:t xml:space="preserve"> sont satisfaits sur le rest</w:t>
      </w:r>
      <w:r w:rsidR="004216CD" w:rsidRPr="00F40FBE">
        <w:rPr>
          <w:spacing w:val="-2"/>
          <w:lang w:val="fr-FR"/>
        </w:rPr>
        <w:t>ant</w:t>
      </w:r>
      <w:r w:rsidRPr="00F40FBE">
        <w:rPr>
          <w:spacing w:val="-2"/>
          <w:lang w:val="fr-FR"/>
        </w:rPr>
        <w:t xml:space="preserve"> de l</w:t>
      </w:r>
      <w:r w:rsidR="00F40FBE" w:rsidRPr="00F40FBE">
        <w:rPr>
          <w:spacing w:val="-2"/>
          <w:lang w:val="fr-FR"/>
        </w:rPr>
        <w:t>’</w:t>
      </w:r>
      <w:r w:rsidRPr="00F40FBE">
        <w:rPr>
          <w:spacing w:val="-2"/>
          <w:lang w:val="fr-FR"/>
        </w:rPr>
        <w:t>actif. Selon le principe de l</w:t>
      </w:r>
      <w:r w:rsidR="00F40FBE" w:rsidRPr="00F40FBE">
        <w:rPr>
          <w:spacing w:val="-2"/>
          <w:lang w:val="fr-FR"/>
        </w:rPr>
        <w:t>’</w:t>
      </w:r>
      <w:r w:rsidRPr="00F40FBE">
        <w:rPr>
          <w:spacing w:val="-2"/>
          <w:lang w:val="fr-FR"/>
        </w:rPr>
        <w:t>égalité des créanciers (</w:t>
      </w:r>
      <w:r w:rsidRPr="00F40FBE">
        <w:rPr>
          <w:i/>
          <w:spacing w:val="-2"/>
          <w:lang w:val="fr-FR"/>
        </w:rPr>
        <w:t>par condicio creditorum</w:t>
      </w:r>
      <w:r w:rsidRPr="00F40FBE">
        <w:rPr>
          <w:spacing w:val="-2"/>
          <w:lang w:val="fr-FR"/>
        </w:rPr>
        <w:t>), ces derniers participent à la répartition de l</w:t>
      </w:r>
      <w:r w:rsidR="00F40FBE" w:rsidRPr="00F40FBE">
        <w:rPr>
          <w:spacing w:val="-2"/>
          <w:lang w:val="fr-FR"/>
        </w:rPr>
        <w:t>’</w:t>
      </w:r>
      <w:r w:rsidRPr="00F40FBE">
        <w:rPr>
          <w:spacing w:val="-2"/>
          <w:lang w:val="fr-FR"/>
        </w:rPr>
        <w:t xml:space="preserve">actif et sont payés proportionnellement à la valeur de leurs créances respectives </w:t>
      </w:r>
      <w:r w:rsidRPr="00F40FBE">
        <w:rPr>
          <w:lang w:val="fr-FR"/>
        </w:rPr>
        <w:t>(article 52, premier alinéa</w:t>
      </w:r>
      <w:r w:rsidR="00642401" w:rsidRPr="00F40FBE">
        <w:rPr>
          <w:lang w:val="fr-FR"/>
        </w:rPr>
        <w:t>,</w:t>
      </w:r>
      <w:r w:rsidRPr="00F40FBE">
        <w:rPr>
          <w:lang w:val="fr-FR"/>
        </w:rPr>
        <w:t xml:space="preserve"> et </w:t>
      </w:r>
      <w:r w:rsidR="00642401" w:rsidRPr="00F40FBE">
        <w:rPr>
          <w:lang w:val="fr-FR"/>
        </w:rPr>
        <w:t xml:space="preserve">article </w:t>
      </w:r>
      <w:r w:rsidRPr="00F40FBE">
        <w:rPr>
          <w:lang w:val="fr-FR"/>
        </w:rPr>
        <w:t>111</w:t>
      </w:r>
      <w:r w:rsidR="00920445" w:rsidRPr="00F40FBE">
        <w:rPr>
          <w:lang w:val="fr-FR"/>
        </w:rPr>
        <w:t> </w:t>
      </w:r>
      <w:r w:rsidR="004216CD" w:rsidRPr="00F40FBE">
        <w:rPr>
          <w:lang w:val="fr-FR"/>
        </w:rPr>
        <w:t>§</w:t>
      </w:r>
      <w:r w:rsidRPr="00F40FBE">
        <w:rPr>
          <w:lang w:val="fr-FR"/>
        </w:rPr>
        <w:t xml:space="preserve"> 3) de la loi de la faillite)</w:t>
      </w:r>
      <w:r w:rsidRPr="00F40FBE">
        <w:rPr>
          <w:spacing w:val="-2"/>
          <w:lang w:val="fr-FR"/>
        </w:rPr>
        <w:t>.</w:t>
      </w:r>
    </w:p>
    <w:p w:rsidR="00A4581E" w:rsidRPr="00F40FBE" w:rsidRDefault="00A4581E" w:rsidP="00F40FBE">
      <w:pPr>
        <w:pStyle w:val="ECHRPara"/>
        <w:rPr>
          <w:lang w:val="fr-FR"/>
        </w:rPr>
      </w:pPr>
      <w:r w:rsidRPr="00F40FBE">
        <w:rPr>
          <w:spacing w:val="-2"/>
          <w:lang w:val="fr-FR"/>
        </w:rPr>
        <w:fldChar w:fldCharType="begin"/>
      </w:r>
      <w:r w:rsidRPr="00F40FBE">
        <w:rPr>
          <w:spacing w:val="-2"/>
          <w:lang w:val="fr-FR"/>
        </w:rPr>
        <w:instrText xml:space="preserve"> SEQ level0 \*arabic </w:instrText>
      </w:r>
      <w:r w:rsidRPr="00F40FBE">
        <w:rPr>
          <w:spacing w:val="-2"/>
          <w:lang w:val="fr-FR"/>
        </w:rPr>
        <w:fldChar w:fldCharType="separate"/>
      </w:r>
      <w:r w:rsidR="00F40FBE" w:rsidRPr="00F40FBE">
        <w:rPr>
          <w:noProof/>
          <w:spacing w:val="-2"/>
          <w:lang w:val="fr-FR"/>
        </w:rPr>
        <w:t>16</w:t>
      </w:r>
      <w:r w:rsidRPr="00F40FBE">
        <w:rPr>
          <w:spacing w:val="-2"/>
          <w:lang w:val="fr-FR"/>
        </w:rPr>
        <w:fldChar w:fldCharType="end"/>
      </w:r>
      <w:r w:rsidRPr="00F40FBE">
        <w:rPr>
          <w:spacing w:val="-2"/>
          <w:lang w:val="fr-FR"/>
        </w:rPr>
        <w:t>.  Aux termes de l</w:t>
      </w:r>
      <w:r w:rsidR="00F40FBE" w:rsidRPr="00F40FBE">
        <w:rPr>
          <w:spacing w:val="-2"/>
          <w:lang w:val="fr-FR"/>
        </w:rPr>
        <w:t>’</w:t>
      </w:r>
      <w:r w:rsidRPr="00F40FBE">
        <w:rPr>
          <w:spacing w:val="-2"/>
          <w:lang w:val="fr-FR"/>
        </w:rPr>
        <w:t>article 213</w:t>
      </w:r>
      <w:r w:rsidR="0056384F" w:rsidRPr="00F40FBE">
        <w:rPr>
          <w:spacing w:val="-2"/>
          <w:lang w:val="fr-FR"/>
        </w:rPr>
        <w:t xml:space="preserve">, </w:t>
      </w:r>
      <w:r w:rsidR="004216CD" w:rsidRPr="00F40FBE">
        <w:rPr>
          <w:spacing w:val="-2"/>
          <w:lang w:val="fr-FR"/>
        </w:rPr>
        <w:t xml:space="preserve">premier </w:t>
      </w:r>
      <w:r w:rsidR="0056384F" w:rsidRPr="00F40FBE">
        <w:rPr>
          <w:spacing w:val="-2"/>
          <w:lang w:val="fr-FR"/>
        </w:rPr>
        <w:t>alinéa</w:t>
      </w:r>
      <w:r w:rsidR="00642401" w:rsidRPr="00F40FBE">
        <w:rPr>
          <w:spacing w:val="-2"/>
          <w:lang w:val="fr-FR"/>
        </w:rPr>
        <w:t>,</w:t>
      </w:r>
      <w:r w:rsidRPr="00F40FBE">
        <w:rPr>
          <w:spacing w:val="-2"/>
          <w:lang w:val="fr-FR"/>
        </w:rPr>
        <w:t xml:space="preserve"> de la loi de la faillite, le bilan final de la liquidation et le plan de répartition aux créanciers sont déposés au greffe du tribunal. Dans un délai de vingt jours à </w:t>
      </w:r>
      <w:r w:rsidR="004216CD" w:rsidRPr="00F40FBE">
        <w:rPr>
          <w:spacing w:val="-2"/>
          <w:lang w:val="fr-FR"/>
        </w:rPr>
        <w:t xml:space="preserve">compter </w:t>
      </w:r>
      <w:r w:rsidRPr="00F40FBE">
        <w:rPr>
          <w:spacing w:val="-2"/>
          <w:lang w:val="fr-FR"/>
        </w:rPr>
        <w:t>de la communication de ce dépôt, les créanciers ont la faculté de contester le bilan et le plan de répartition devant le tr</w:t>
      </w:r>
      <w:r w:rsidR="0056384F" w:rsidRPr="00F40FBE">
        <w:rPr>
          <w:spacing w:val="-2"/>
          <w:lang w:val="fr-FR"/>
        </w:rPr>
        <w:t>ibunal civil (</w:t>
      </w:r>
      <w:r w:rsidRPr="00F40FBE">
        <w:rPr>
          <w:spacing w:val="-2"/>
          <w:lang w:val="fr-FR"/>
        </w:rPr>
        <w:t>article 213</w:t>
      </w:r>
      <w:r w:rsidR="0056384F" w:rsidRPr="00F40FBE">
        <w:rPr>
          <w:spacing w:val="-2"/>
          <w:lang w:val="fr-FR"/>
        </w:rPr>
        <w:t xml:space="preserve"> </w:t>
      </w:r>
      <w:r w:rsidR="004216CD" w:rsidRPr="00F40FBE">
        <w:rPr>
          <w:spacing w:val="-2"/>
          <w:lang w:val="fr-FR"/>
        </w:rPr>
        <w:t xml:space="preserve">§ </w:t>
      </w:r>
      <w:r w:rsidR="002179A8" w:rsidRPr="00F40FBE">
        <w:rPr>
          <w:spacing w:val="-2"/>
          <w:lang w:val="fr-FR"/>
        </w:rPr>
        <w:t>3</w:t>
      </w:r>
      <w:r w:rsidR="004216CD" w:rsidRPr="00F40FBE">
        <w:rPr>
          <w:spacing w:val="-2"/>
          <w:lang w:val="fr-FR"/>
        </w:rPr>
        <w:t xml:space="preserve"> de la loi de la faillite</w:t>
      </w:r>
      <w:r w:rsidRPr="00F40FBE">
        <w:rPr>
          <w:spacing w:val="-2"/>
          <w:lang w:val="fr-FR"/>
        </w:rPr>
        <w:t>).</w:t>
      </w:r>
    </w:p>
    <w:p w:rsidR="00A4581E" w:rsidRPr="00F40FBE" w:rsidRDefault="00A4581E"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17</w:t>
      </w:r>
      <w:r w:rsidRPr="00F40FBE">
        <w:rPr>
          <w:lang w:val="fr-FR"/>
        </w:rPr>
        <w:fldChar w:fldCharType="end"/>
      </w:r>
      <w:r w:rsidRPr="00F40FBE">
        <w:rPr>
          <w:lang w:val="fr-FR"/>
        </w:rPr>
        <w:t xml:space="preserve">.  La procédure a été modifiée </w:t>
      </w:r>
      <w:r w:rsidR="004B0194" w:rsidRPr="00F40FBE">
        <w:rPr>
          <w:lang w:val="fr-FR"/>
        </w:rPr>
        <w:t>à de nombreuses reprises. En particulier,</w:t>
      </w:r>
      <w:r w:rsidRPr="00F40FBE">
        <w:rPr>
          <w:lang w:val="fr-FR"/>
        </w:rPr>
        <w:t xml:space="preserve"> les décrets législatifs n</w:t>
      </w:r>
      <w:r w:rsidRPr="00F40FBE">
        <w:rPr>
          <w:vertAlign w:val="superscript"/>
          <w:lang w:val="fr-FR"/>
        </w:rPr>
        <w:t>o</w:t>
      </w:r>
      <w:r w:rsidRPr="00F40FBE">
        <w:rPr>
          <w:lang w:val="fr-FR"/>
        </w:rPr>
        <w:t xml:space="preserve"> 5 du 9 janvier 2006 et </w:t>
      </w:r>
      <w:r w:rsidR="00642401" w:rsidRPr="00F40FBE">
        <w:rPr>
          <w:lang w:val="fr-FR"/>
        </w:rPr>
        <w:t>n</w:t>
      </w:r>
      <w:r w:rsidR="00642401" w:rsidRPr="00F40FBE">
        <w:rPr>
          <w:vertAlign w:val="superscript"/>
          <w:lang w:val="fr-FR"/>
        </w:rPr>
        <w:t xml:space="preserve">o </w:t>
      </w:r>
      <w:r w:rsidRPr="00F40FBE">
        <w:rPr>
          <w:lang w:val="fr-FR"/>
        </w:rPr>
        <w:t xml:space="preserve">169 du 12 septembre 2007 </w:t>
      </w:r>
      <w:r w:rsidR="004B0194" w:rsidRPr="00F40FBE">
        <w:rPr>
          <w:lang w:val="fr-FR"/>
        </w:rPr>
        <w:t>ont</w:t>
      </w:r>
      <w:r w:rsidRPr="00F40FBE">
        <w:rPr>
          <w:lang w:val="fr-FR"/>
        </w:rPr>
        <w:t xml:space="preserve"> modifié les articles 209 et 213 et abrogé l</w:t>
      </w:r>
      <w:r w:rsidR="00F40FBE" w:rsidRPr="00F40FBE">
        <w:rPr>
          <w:lang w:val="fr-FR"/>
        </w:rPr>
        <w:t>’</w:t>
      </w:r>
      <w:r w:rsidRPr="00F40FBE">
        <w:rPr>
          <w:lang w:val="fr-FR"/>
        </w:rPr>
        <w:t xml:space="preserve">article 211 </w:t>
      </w:r>
      <w:r w:rsidRPr="00F40FBE">
        <w:rPr>
          <w:spacing w:val="-2"/>
          <w:lang w:val="fr-FR"/>
        </w:rPr>
        <w:t>de la loi de la faillite</w:t>
      </w:r>
      <w:r w:rsidRPr="00F40FBE">
        <w:rPr>
          <w:lang w:val="fr-FR"/>
        </w:rPr>
        <w:t>.</w:t>
      </w:r>
    </w:p>
    <w:p w:rsidR="00A4581E" w:rsidRPr="00F40FBE" w:rsidRDefault="005547F5" w:rsidP="00F40FBE">
      <w:pPr>
        <w:pStyle w:val="ECHRHeading2"/>
        <w:rPr>
          <w:lang w:val="fr-FR"/>
        </w:rPr>
      </w:pPr>
      <w:r w:rsidRPr="00F40FBE">
        <w:rPr>
          <w:lang w:val="fr-FR"/>
        </w:rPr>
        <w:t>B</w:t>
      </w:r>
      <w:r w:rsidR="00A4581E" w:rsidRPr="00F40FBE">
        <w:rPr>
          <w:lang w:val="fr-FR"/>
        </w:rPr>
        <w:t>.</w:t>
      </w:r>
      <w:r w:rsidR="00642401" w:rsidRPr="00F40FBE">
        <w:rPr>
          <w:lang w:val="fr-FR"/>
        </w:rPr>
        <w:t>  </w:t>
      </w:r>
      <w:r w:rsidR="00A4581E" w:rsidRPr="00F40FBE">
        <w:rPr>
          <w:lang w:val="fr-FR"/>
        </w:rPr>
        <w:t>L</w:t>
      </w:r>
      <w:r w:rsidR="00F40FBE" w:rsidRPr="00F40FBE">
        <w:rPr>
          <w:lang w:val="fr-FR"/>
        </w:rPr>
        <w:t>’</w:t>
      </w:r>
      <w:r w:rsidR="00A4581E" w:rsidRPr="00F40FBE">
        <w:rPr>
          <w:lang w:val="fr-FR"/>
        </w:rPr>
        <w:t>application de la</w:t>
      </w:r>
      <w:r w:rsidR="005869E5" w:rsidRPr="00F40FBE">
        <w:rPr>
          <w:lang w:val="fr-FR"/>
        </w:rPr>
        <w:t xml:space="preserve"> loi n</w:t>
      </w:r>
      <w:r w:rsidR="00927822" w:rsidRPr="00F40FBE">
        <w:rPr>
          <w:vertAlign w:val="superscript"/>
          <w:lang w:val="fr-FR"/>
        </w:rPr>
        <w:t>o</w:t>
      </w:r>
      <w:r w:rsidR="005869E5" w:rsidRPr="00F40FBE">
        <w:rPr>
          <w:lang w:val="fr-FR"/>
        </w:rPr>
        <w:t xml:space="preserve"> 89 du 24 mars 2001, dite « loi Pinto »</w:t>
      </w:r>
      <w:r w:rsidR="00A4581E" w:rsidRPr="00F40FBE">
        <w:rPr>
          <w:lang w:val="fr-FR"/>
        </w:rPr>
        <w:t xml:space="preserve"> à la procédure de liquidation administrative</w:t>
      </w:r>
    </w:p>
    <w:bookmarkStart w:id="3" w:name="JP_nationale"/>
    <w:p w:rsidR="00927822" w:rsidRPr="00F40FBE" w:rsidRDefault="00A4581E" w:rsidP="00F40FBE">
      <w:pPr>
        <w:pStyle w:val="ECHRPara"/>
        <w:rPr>
          <w:szCs w:val="24"/>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18</w:t>
      </w:r>
      <w:r w:rsidRPr="00F40FBE">
        <w:rPr>
          <w:lang w:val="fr-FR"/>
        </w:rPr>
        <w:fldChar w:fldCharType="end"/>
      </w:r>
      <w:bookmarkEnd w:id="3"/>
      <w:r w:rsidRPr="00F40FBE">
        <w:rPr>
          <w:lang w:val="fr-FR"/>
        </w:rPr>
        <w:t>.  En matière d</w:t>
      </w:r>
      <w:r w:rsidR="00F40FBE" w:rsidRPr="00F40FBE">
        <w:rPr>
          <w:lang w:val="fr-FR"/>
        </w:rPr>
        <w:t>’</w:t>
      </w:r>
      <w:r w:rsidRPr="00F40FBE">
        <w:rPr>
          <w:lang w:val="fr-FR"/>
        </w:rPr>
        <w:t xml:space="preserve">application de la </w:t>
      </w:r>
      <w:r w:rsidR="00F03C8D" w:rsidRPr="00F40FBE">
        <w:rPr>
          <w:lang w:val="fr-FR"/>
        </w:rPr>
        <w:t>« </w:t>
      </w:r>
      <w:r w:rsidR="002179A8" w:rsidRPr="00F40FBE">
        <w:rPr>
          <w:lang w:val="fr-FR"/>
        </w:rPr>
        <w:t xml:space="preserve">loi </w:t>
      </w:r>
      <w:r w:rsidRPr="00F40FBE">
        <w:rPr>
          <w:lang w:val="fr-FR"/>
        </w:rPr>
        <w:t>Pinto</w:t>
      </w:r>
      <w:r w:rsidR="00F03C8D" w:rsidRPr="00F40FBE">
        <w:rPr>
          <w:lang w:val="fr-FR"/>
        </w:rPr>
        <w:t> »</w:t>
      </w:r>
      <w:r w:rsidRPr="00F40FBE">
        <w:rPr>
          <w:lang w:val="fr-FR"/>
        </w:rPr>
        <w:t xml:space="preserve"> aux procédures de liquidation administrative, la Cour de cassation (arrêts n</w:t>
      </w:r>
      <w:r w:rsidRPr="00F40FBE">
        <w:rPr>
          <w:vertAlign w:val="superscript"/>
          <w:lang w:val="fr-FR"/>
        </w:rPr>
        <w:t>o</w:t>
      </w:r>
      <w:r w:rsidRPr="00F40FBE">
        <w:rPr>
          <w:lang w:val="fr-FR"/>
        </w:rPr>
        <w:t xml:space="preserve"> 17048 du 14 mai 2007, déposé le 3 août 2007</w:t>
      </w:r>
      <w:r w:rsidR="00894C94" w:rsidRPr="00F40FBE">
        <w:rPr>
          <w:lang w:val="fr-FR"/>
        </w:rPr>
        <w:t>,</w:t>
      </w:r>
      <w:r w:rsidRPr="00F40FBE">
        <w:rPr>
          <w:lang w:val="fr-FR"/>
        </w:rPr>
        <w:t xml:space="preserve"> et </w:t>
      </w:r>
      <w:r w:rsidR="00894C94" w:rsidRPr="00F40FBE">
        <w:rPr>
          <w:lang w:val="fr-FR"/>
        </w:rPr>
        <w:t>n</w:t>
      </w:r>
      <w:r w:rsidR="00894C94" w:rsidRPr="00F40FBE">
        <w:rPr>
          <w:vertAlign w:val="superscript"/>
          <w:lang w:val="fr-FR"/>
        </w:rPr>
        <w:t xml:space="preserve">o </w:t>
      </w:r>
      <w:r w:rsidRPr="00F40FBE">
        <w:rPr>
          <w:lang w:val="fr-FR"/>
        </w:rPr>
        <w:t>28105 du 29 septembre 2009, déposé le 30 décembre 2009</w:t>
      </w:r>
      <w:r w:rsidR="003A3308" w:rsidRPr="00F40FBE">
        <w:rPr>
          <w:lang w:val="fr-FR"/>
        </w:rPr>
        <w:t> ; voir aussi les arrêts n</w:t>
      </w:r>
      <w:r w:rsidR="003A3308" w:rsidRPr="00F40FBE">
        <w:rPr>
          <w:vertAlign w:val="superscript"/>
          <w:lang w:val="fr-FR"/>
        </w:rPr>
        <w:t>os</w:t>
      </w:r>
      <w:r w:rsidR="003A3308" w:rsidRPr="00F40FBE">
        <w:rPr>
          <w:lang w:val="fr-FR"/>
        </w:rPr>
        <w:t xml:space="preserve"> 18579/04, 1817/05, 12386/11 et 12729/11</w:t>
      </w:r>
      <w:r w:rsidRPr="00F40FBE">
        <w:rPr>
          <w:lang w:val="fr-FR"/>
        </w:rPr>
        <w:t>) a affirmé que</w:t>
      </w:r>
      <w:r w:rsidR="00894C94" w:rsidRPr="00F40FBE">
        <w:rPr>
          <w:lang w:val="fr-FR"/>
        </w:rPr>
        <w:t xml:space="preserve"> </w:t>
      </w:r>
      <w:r w:rsidRPr="00F40FBE">
        <w:rPr>
          <w:szCs w:val="24"/>
          <w:lang w:val="fr-FR"/>
        </w:rPr>
        <w:t xml:space="preserve">la liquidation est une procédure de nature administrative, </w:t>
      </w:r>
      <w:r w:rsidR="004216CD" w:rsidRPr="00F40FBE">
        <w:rPr>
          <w:szCs w:val="24"/>
          <w:lang w:val="fr-FR"/>
        </w:rPr>
        <w:t xml:space="preserve">sur </w:t>
      </w:r>
      <w:r w:rsidRPr="00F40FBE">
        <w:rPr>
          <w:szCs w:val="24"/>
          <w:lang w:val="fr-FR"/>
        </w:rPr>
        <w:t xml:space="preserve">laquelle se greffent des phases de caractère juridictionnel, telles que la déclaration de cessation de paiements </w:t>
      </w:r>
      <w:r w:rsidRPr="00F40FBE">
        <w:rPr>
          <w:szCs w:val="24"/>
          <w:lang w:val="fr-FR"/>
        </w:rPr>
        <w:lastRenderedPageBreak/>
        <w:t>(</w:t>
      </w:r>
      <w:r w:rsidRPr="00F40FBE">
        <w:rPr>
          <w:i/>
          <w:szCs w:val="24"/>
          <w:lang w:val="fr-FR"/>
        </w:rPr>
        <w:t>dichiarazione dello stato di insolvenza</w:t>
      </w:r>
      <w:r w:rsidRPr="00F40FBE">
        <w:rPr>
          <w:szCs w:val="24"/>
          <w:lang w:val="fr-FR"/>
        </w:rPr>
        <w:t xml:space="preserve">), les éventuels recours et les oppositions prévus </w:t>
      </w:r>
      <w:r w:rsidR="003C0656" w:rsidRPr="00F40FBE">
        <w:rPr>
          <w:szCs w:val="24"/>
          <w:lang w:val="fr-FR"/>
        </w:rPr>
        <w:t>aux</w:t>
      </w:r>
      <w:r w:rsidRPr="00F40FBE">
        <w:rPr>
          <w:szCs w:val="24"/>
          <w:lang w:val="fr-FR"/>
        </w:rPr>
        <w:t xml:space="preserve"> articles 98 et 100 de la loi de </w:t>
      </w:r>
      <w:r w:rsidR="00E513F4" w:rsidRPr="00F40FBE">
        <w:rPr>
          <w:szCs w:val="24"/>
          <w:lang w:val="fr-FR"/>
        </w:rPr>
        <w:t xml:space="preserve">la </w:t>
      </w:r>
      <w:r w:rsidRPr="00F40FBE">
        <w:rPr>
          <w:szCs w:val="24"/>
          <w:lang w:val="fr-FR"/>
        </w:rPr>
        <w:t>faillite.</w:t>
      </w:r>
    </w:p>
    <w:p w:rsidR="00A4581E" w:rsidRPr="00F40FBE" w:rsidRDefault="00894C94" w:rsidP="00F40FBE">
      <w:pPr>
        <w:pStyle w:val="ECHRPara"/>
        <w:rPr>
          <w:lang w:val="fr-FR"/>
        </w:rPr>
      </w:pPr>
      <w:r w:rsidRPr="00F40FBE">
        <w:rPr>
          <w:szCs w:val="24"/>
          <w:lang w:val="fr-FR"/>
        </w:rPr>
        <w:t xml:space="preserve">Selon la </w:t>
      </w:r>
      <w:r w:rsidRPr="00F40FBE">
        <w:rPr>
          <w:lang w:val="fr-FR"/>
        </w:rPr>
        <w:t>Cour de cassation, l</w:t>
      </w:r>
      <w:r w:rsidR="00A4581E" w:rsidRPr="00F40FBE">
        <w:rPr>
          <w:szCs w:val="24"/>
          <w:lang w:val="fr-FR"/>
        </w:rPr>
        <w:t>e dépôt de l</w:t>
      </w:r>
      <w:r w:rsidR="00F40FBE" w:rsidRPr="00F40FBE">
        <w:rPr>
          <w:szCs w:val="24"/>
          <w:lang w:val="fr-FR"/>
        </w:rPr>
        <w:t>’</w:t>
      </w:r>
      <w:r w:rsidR="00A4581E" w:rsidRPr="00F40FBE">
        <w:rPr>
          <w:szCs w:val="24"/>
          <w:lang w:val="fr-FR"/>
        </w:rPr>
        <w:t>état des créances constituant le fondement pour les demandes devant l</w:t>
      </w:r>
      <w:r w:rsidR="00F40FBE" w:rsidRPr="00F40FBE">
        <w:rPr>
          <w:szCs w:val="24"/>
          <w:lang w:val="fr-FR"/>
        </w:rPr>
        <w:t>’</w:t>
      </w:r>
      <w:r w:rsidR="00A4581E" w:rsidRPr="00F40FBE">
        <w:rPr>
          <w:szCs w:val="24"/>
          <w:lang w:val="fr-FR"/>
        </w:rPr>
        <w:t>autorité judiciaire ordinaire, la procédure devient juridictionnelle par l</w:t>
      </w:r>
      <w:r w:rsidR="00F40FBE" w:rsidRPr="00F40FBE">
        <w:rPr>
          <w:szCs w:val="24"/>
          <w:lang w:val="fr-FR"/>
        </w:rPr>
        <w:t>’</w:t>
      </w:r>
      <w:r w:rsidR="00A4581E" w:rsidRPr="00F40FBE">
        <w:rPr>
          <w:szCs w:val="24"/>
          <w:lang w:val="fr-FR"/>
        </w:rPr>
        <w:t>effet de la proposition de l</w:t>
      </w:r>
      <w:r w:rsidR="00F40FBE" w:rsidRPr="00F40FBE">
        <w:rPr>
          <w:szCs w:val="24"/>
          <w:lang w:val="fr-FR"/>
        </w:rPr>
        <w:t>’</w:t>
      </w:r>
      <w:r w:rsidR="00A4581E" w:rsidRPr="00F40FBE">
        <w:rPr>
          <w:szCs w:val="24"/>
          <w:lang w:val="fr-FR"/>
        </w:rPr>
        <w:t>opposition et des recours ou des admissions tardives de créances (</w:t>
      </w:r>
      <w:r w:rsidR="00A4581E" w:rsidRPr="00F40FBE">
        <w:rPr>
          <w:i/>
          <w:szCs w:val="24"/>
          <w:lang w:val="fr-FR"/>
        </w:rPr>
        <w:t>insinuazioni tardive</w:t>
      </w:r>
      <w:r w:rsidR="00A4581E" w:rsidRPr="00F40FBE">
        <w:rPr>
          <w:szCs w:val="24"/>
          <w:lang w:val="fr-FR"/>
        </w:rPr>
        <w:t xml:space="preserve">). Par conséquent, </w:t>
      </w:r>
      <w:r w:rsidR="004216CD" w:rsidRPr="00F40FBE">
        <w:rPr>
          <w:szCs w:val="24"/>
          <w:lang w:val="fr-FR"/>
        </w:rPr>
        <w:t xml:space="preserve">toujours selon la Cour de cassation, </w:t>
      </w:r>
      <w:r w:rsidR="00A4581E" w:rsidRPr="00F40FBE">
        <w:rPr>
          <w:szCs w:val="24"/>
          <w:lang w:val="fr-FR"/>
        </w:rPr>
        <w:t>dans la mesure où la déclaration de cessation de paiements n</w:t>
      </w:r>
      <w:r w:rsidR="00F40FBE" w:rsidRPr="00F40FBE">
        <w:rPr>
          <w:szCs w:val="24"/>
          <w:lang w:val="fr-FR"/>
        </w:rPr>
        <w:t>’</w:t>
      </w:r>
      <w:r w:rsidR="00A4581E" w:rsidRPr="00F40FBE">
        <w:rPr>
          <w:szCs w:val="24"/>
          <w:lang w:val="fr-FR"/>
        </w:rPr>
        <w:t>a pas donné lieu à contestation, la procédure garde inaltéré son caractère administratif. D</w:t>
      </w:r>
      <w:r w:rsidR="00F40FBE" w:rsidRPr="00F40FBE">
        <w:rPr>
          <w:szCs w:val="24"/>
          <w:lang w:val="fr-FR"/>
        </w:rPr>
        <w:t>’</w:t>
      </w:r>
      <w:r w:rsidR="00A4581E" w:rsidRPr="00F40FBE">
        <w:rPr>
          <w:szCs w:val="24"/>
          <w:lang w:val="fr-FR"/>
        </w:rPr>
        <w:t>où l</w:t>
      </w:r>
      <w:r w:rsidR="00F40FBE" w:rsidRPr="00F40FBE">
        <w:rPr>
          <w:szCs w:val="24"/>
          <w:lang w:val="fr-FR"/>
        </w:rPr>
        <w:t>’</w:t>
      </w:r>
      <w:r w:rsidR="00A4581E" w:rsidRPr="00F40FBE">
        <w:rPr>
          <w:szCs w:val="24"/>
          <w:lang w:val="fr-FR"/>
        </w:rPr>
        <w:t xml:space="preserve">inapplicabilité de la </w:t>
      </w:r>
      <w:r w:rsidR="00970147" w:rsidRPr="00F40FBE">
        <w:rPr>
          <w:szCs w:val="24"/>
          <w:lang w:val="fr-FR"/>
        </w:rPr>
        <w:t>« </w:t>
      </w:r>
      <w:r w:rsidR="00A4581E" w:rsidRPr="00F40FBE">
        <w:rPr>
          <w:szCs w:val="24"/>
          <w:lang w:val="fr-FR"/>
        </w:rPr>
        <w:t>loi Pinto</w:t>
      </w:r>
      <w:r w:rsidR="00970147" w:rsidRPr="00F40FBE">
        <w:rPr>
          <w:szCs w:val="24"/>
          <w:lang w:val="fr-FR"/>
        </w:rPr>
        <w:t> »</w:t>
      </w:r>
      <w:r w:rsidR="00A4581E" w:rsidRPr="00F40FBE">
        <w:rPr>
          <w:szCs w:val="24"/>
          <w:lang w:val="fr-FR"/>
        </w:rPr>
        <w:t>.</w:t>
      </w:r>
    </w:p>
    <w:p w:rsidR="003F2FC4" w:rsidRPr="00F40FBE" w:rsidRDefault="00F84635" w:rsidP="00F40FBE">
      <w:pPr>
        <w:pStyle w:val="ECHRTitle1"/>
        <w:rPr>
          <w:lang w:val="fr-FR"/>
        </w:rPr>
      </w:pPr>
      <w:r w:rsidRPr="00F40FBE">
        <w:rPr>
          <w:lang w:val="fr-FR"/>
        </w:rPr>
        <w:t>EN DROIT</w:t>
      </w:r>
    </w:p>
    <w:p w:rsidR="00F84635" w:rsidRPr="00F40FBE" w:rsidRDefault="003F2FC4" w:rsidP="00F40FBE">
      <w:pPr>
        <w:pStyle w:val="ECHRHeading1"/>
        <w:rPr>
          <w:lang w:val="fr-FR"/>
        </w:rPr>
      </w:pPr>
      <w:r w:rsidRPr="00F40FBE">
        <w:rPr>
          <w:lang w:val="fr-FR"/>
        </w:rPr>
        <w:t>I.</w:t>
      </w:r>
      <w:r w:rsidR="00F84635" w:rsidRPr="00F40FBE">
        <w:rPr>
          <w:lang w:val="fr-FR"/>
        </w:rPr>
        <w:t>  SUR LA VIOLATION ALLÉGUÉE DE</w:t>
      </w:r>
      <w:r w:rsidR="00B1268F" w:rsidRPr="00F40FBE">
        <w:rPr>
          <w:lang w:val="fr-FR"/>
        </w:rPr>
        <w:t xml:space="preserve"> L</w:t>
      </w:r>
      <w:r w:rsidR="00F40FBE" w:rsidRPr="00F40FBE">
        <w:rPr>
          <w:lang w:val="fr-FR"/>
        </w:rPr>
        <w:t>’</w:t>
      </w:r>
      <w:r w:rsidR="00F84635" w:rsidRPr="00F40FBE">
        <w:rPr>
          <w:lang w:val="fr-FR"/>
        </w:rPr>
        <w:t>ARTICLE 6 § 1</w:t>
      </w:r>
      <w:r w:rsidR="00337C22" w:rsidRPr="00F40FBE">
        <w:rPr>
          <w:lang w:val="fr-FR"/>
        </w:rPr>
        <w:t xml:space="preserve"> </w:t>
      </w:r>
      <w:r w:rsidR="00F84635" w:rsidRPr="00F40FBE">
        <w:rPr>
          <w:lang w:val="fr-FR"/>
        </w:rPr>
        <w:t>DE LA CONVENTION</w:t>
      </w:r>
    </w:p>
    <w:p w:rsidR="00556A04"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19</w:t>
      </w:r>
      <w:r w:rsidRPr="00F40FBE">
        <w:rPr>
          <w:lang w:val="fr-FR"/>
        </w:rPr>
        <w:fldChar w:fldCharType="end"/>
      </w:r>
      <w:r w:rsidR="00F84635" w:rsidRPr="00F40FBE">
        <w:rPr>
          <w:lang w:val="fr-FR"/>
        </w:rPr>
        <w:t>.  </w:t>
      </w:r>
      <w:r w:rsidR="00556A04" w:rsidRPr="00F40FBE">
        <w:rPr>
          <w:lang w:val="fr-FR"/>
        </w:rPr>
        <w:t xml:space="preserve">Sur le terrain </w:t>
      </w:r>
      <w:r w:rsidR="003C0656" w:rsidRPr="00F40FBE">
        <w:rPr>
          <w:lang w:val="fr-FR"/>
        </w:rPr>
        <w:t>de</w:t>
      </w:r>
      <w:r w:rsidR="00052978" w:rsidRPr="00F40FBE">
        <w:rPr>
          <w:lang w:val="fr-FR"/>
        </w:rPr>
        <w:t xml:space="preserve">s </w:t>
      </w:r>
      <w:r w:rsidR="003C0656" w:rsidRPr="00F40FBE">
        <w:rPr>
          <w:lang w:val="fr-FR"/>
        </w:rPr>
        <w:t>article</w:t>
      </w:r>
      <w:r w:rsidR="00052978" w:rsidRPr="00F40FBE">
        <w:rPr>
          <w:lang w:val="fr-FR"/>
        </w:rPr>
        <w:t>s</w:t>
      </w:r>
      <w:r w:rsidR="00556A04" w:rsidRPr="00F40FBE">
        <w:rPr>
          <w:lang w:val="fr-FR"/>
        </w:rPr>
        <w:t xml:space="preserve"> 13</w:t>
      </w:r>
      <w:r w:rsidR="00052978" w:rsidRPr="00F40FBE">
        <w:rPr>
          <w:lang w:val="fr-FR"/>
        </w:rPr>
        <w:t xml:space="preserve"> et 14</w:t>
      </w:r>
      <w:r w:rsidR="00556A04" w:rsidRPr="00F40FBE">
        <w:rPr>
          <w:lang w:val="fr-FR"/>
        </w:rPr>
        <w:t xml:space="preserve"> </w:t>
      </w:r>
      <w:r w:rsidR="00125FCB" w:rsidRPr="00F40FBE">
        <w:rPr>
          <w:lang w:val="fr-FR"/>
        </w:rPr>
        <w:t xml:space="preserve">de la Convention, le requérant </w:t>
      </w:r>
      <w:r w:rsidR="00556A04" w:rsidRPr="00F40FBE">
        <w:rPr>
          <w:lang w:val="fr-FR"/>
        </w:rPr>
        <w:t>allègue que la durée de la procédure de liquidation administrative a méconnu le principe du « délai raisonnable »</w:t>
      </w:r>
      <w:r w:rsidR="004A6A9B" w:rsidRPr="00F40FBE">
        <w:rPr>
          <w:lang w:val="fr-FR"/>
        </w:rPr>
        <w:t>.</w:t>
      </w:r>
    </w:p>
    <w:p w:rsidR="0056384F" w:rsidRPr="00F40FBE" w:rsidRDefault="0056384F"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20</w:t>
      </w:r>
      <w:r w:rsidRPr="00F40FBE">
        <w:rPr>
          <w:lang w:val="fr-FR"/>
        </w:rPr>
        <w:fldChar w:fldCharType="end"/>
      </w:r>
      <w:r w:rsidRPr="00F40FBE">
        <w:rPr>
          <w:lang w:val="fr-FR"/>
        </w:rPr>
        <w:t xml:space="preserve">.  Le Gouvernement </w:t>
      </w:r>
      <w:r w:rsidR="008647B1" w:rsidRPr="00F40FBE">
        <w:rPr>
          <w:lang w:val="fr-FR"/>
        </w:rPr>
        <w:t>combat</w:t>
      </w:r>
      <w:r w:rsidRPr="00F40FBE">
        <w:rPr>
          <w:lang w:val="fr-FR"/>
        </w:rPr>
        <w:t xml:space="preserve"> cette thèse.</w:t>
      </w:r>
    </w:p>
    <w:p w:rsidR="00556A04" w:rsidRPr="00F40FBE" w:rsidRDefault="0056384F"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21</w:t>
      </w:r>
      <w:r w:rsidRPr="00F40FBE">
        <w:rPr>
          <w:lang w:val="fr-FR"/>
        </w:rPr>
        <w:fldChar w:fldCharType="end"/>
      </w:r>
      <w:r w:rsidRPr="00F40FBE">
        <w:rPr>
          <w:lang w:val="fr-FR"/>
        </w:rPr>
        <w:t>.  </w:t>
      </w:r>
      <w:r w:rsidR="00337C22" w:rsidRPr="00F40FBE">
        <w:rPr>
          <w:lang w:val="fr-FR"/>
        </w:rPr>
        <w:t>Maîtresse de la qualification juridique des faits (</w:t>
      </w:r>
      <w:r w:rsidR="00337C22" w:rsidRPr="00F40FBE">
        <w:rPr>
          <w:i/>
          <w:lang w:val="fr-FR"/>
        </w:rPr>
        <w:t xml:space="preserve">Aksu c. Turquie </w:t>
      </w:r>
      <w:r w:rsidR="00337C22" w:rsidRPr="00F40FBE">
        <w:rPr>
          <w:lang w:val="fr-FR"/>
        </w:rPr>
        <w:t>[GC], n</w:t>
      </w:r>
      <w:r w:rsidR="00337C22" w:rsidRPr="00F40FBE">
        <w:rPr>
          <w:vertAlign w:val="superscript"/>
          <w:lang w:val="fr-FR"/>
        </w:rPr>
        <w:t>os</w:t>
      </w:r>
      <w:r w:rsidR="00337C22" w:rsidRPr="00F40FBE">
        <w:rPr>
          <w:lang w:val="fr-FR"/>
        </w:rPr>
        <w:t xml:space="preserve"> 4149/04 et 41029/04, § 43, CEDH 2012</w:t>
      </w:r>
      <w:r w:rsidR="008647B1" w:rsidRPr="00F40FBE">
        <w:rPr>
          <w:lang w:val="fr-FR"/>
        </w:rPr>
        <w:t>,</w:t>
      </w:r>
      <w:r w:rsidR="00337C22" w:rsidRPr="00F40FBE">
        <w:rPr>
          <w:lang w:val="fr-FR"/>
        </w:rPr>
        <w:t xml:space="preserve"> </w:t>
      </w:r>
      <w:r w:rsidR="00337C22" w:rsidRPr="00F40FBE">
        <w:rPr>
          <w:i/>
          <w:lang w:val="fr-FR"/>
        </w:rPr>
        <w:t>Halil Yüksel Akıncı c. Turquie</w:t>
      </w:r>
      <w:r w:rsidR="00337C22" w:rsidRPr="00F40FBE">
        <w:rPr>
          <w:lang w:val="fr-FR"/>
        </w:rPr>
        <w:t>, n</w:t>
      </w:r>
      <w:r w:rsidR="00337C22" w:rsidRPr="00F40FBE">
        <w:rPr>
          <w:vertAlign w:val="superscript"/>
          <w:lang w:val="fr-FR"/>
        </w:rPr>
        <w:t>o</w:t>
      </w:r>
      <w:r w:rsidR="00337C22" w:rsidRPr="00F40FBE">
        <w:rPr>
          <w:lang w:val="fr-FR"/>
        </w:rPr>
        <w:t xml:space="preserve"> 39125/04, § 54, 11 décembre 2012</w:t>
      </w:r>
      <w:r w:rsidR="008647B1" w:rsidRPr="00F40FBE">
        <w:rPr>
          <w:lang w:val="fr-FR"/>
        </w:rPr>
        <w:t>, et</w:t>
      </w:r>
      <w:r w:rsidR="00337C22" w:rsidRPr="00F40FBE">
        <w:rPr>
          <w:lang w:val="fr-FR"/>
        </w:rPr>
        <w:t xml:space="preserve"> </w:t>
      </w:r>
      <w:r w:rsidR="00337C22" w:rsidRPr="00F40FBE">
        <w:rPr>
          <w:i/>
          <w:lang w:val="fr-FR"/>
        </w:rPr>
        <w:t>Guerra et autres c.</w:t>
      </w:r>
      <w:r w:rsidR="00920445" w:rsidRPr="00F40FBE">
        <w:rPr>
          <w:i/>
          <w:lang w:val="fr-FR"/>
        </w:rPr>
        <w:t> </w:t>
      </w:r>
      <w:r w:rsidR="00337C22" w:rsidRPr="00F40FBE">
        <w:rPr>
          <w:i/>
          <w:lang w:val="fr-FR"/>
        </w:rPr>
        <w:t>Italie</w:t>
      </w:r>
      <w:r w:rsidR="00337C22" w:rsidRPr="00F40FBE">
        <w:rPr>
          <w:lang w:val="fr-FR"/>
        </w:rPr>
        <w:t xml:space="preserve">, 19 février 1998, § 44, </w:t>
      </w:r>
      <w:r w:rsidR="00337C22" w:rsidRPr="00F40FBE">
        <w:rPr>
          <w:i/>
          <w:lang w:val="fr-FR"/>
        </w:rPr>
        <w:t>Recueil des arrêts et décisions</w:t>
      </w:r>
      <w:r w:rsidR="00337C22" w:rsidRPr="00F40FBE">
        <w:rPr>
          <w:lang w:val="fr-FR"/>
        </w:rPr>
        <w:t xml:space="preserve"> 1998</w:t>
      </w:r>
      <w:r w:rsidR="00337C22" w:rsidRPr="00F40FBE">
        <w:rPr>
          <w:lang w:val="fr-FR"/>
        </w:rPr>
        <w:noBreakHyphen/>
        <w:t>I)</w:t>
      </w:r>
      <w:r w:rsidR="00556A04" w:rsidRPr="00F40FBE">
        <w:rPr>
          <w:lang w:val="fr-FR"/>
        </w:rPr>
        <w:t>, la Cour estime que l</w:t>
      </w:r>
      <w:r w:rsidR="00F40FBE" w:rsidRPr="00F40FBE">
        <w:rPr>
          <w:lang w:val="fr-FR"/>
        </w:rPr>
        <w:t>’</w:t>
      </w:r>
      <w:r w:rsidR="00556A04" w:rsidRPr="00F40FBE">
        <w:rPr>
          <w:lang w:val="fr-FR"/>
        </w:rPr>
        <w:t>affaire doit être examinée à la lumière de</w:t>
      </w:r>
      <w:r w:rsidR="004A6A9B" w:rsidRPr="00F40FBE">
        <w:rPr>
          <w:lang w:val="fr-FR"/>
        </w:rPr>
        <w:t xml:space="preserve"> l</w:t>
      </w:r>
      <w:r w:rsidR="00F40FBE" w:rsidRPr="00F40FBE">
        <w:rPr>
          <w:lang w:val="fr-FR"/>
        </w:rPr>
        <w:t>’</w:t>
      </w:r>
      <w:r w:rsidR="00556A04" w:rsidRPr="00F40FBE">
        <w:rPr>
          <w:lang w:val="fr-FR"/>
        </w:rPr>
        <w:t xml:space="preserve">article 6 § 1 de la Convention, </w:t>
      </w:r>
      <w:r w:rsidR="004A6A9B" w:rsidRPr="00F40FBE">
        <w:rPr>
          <w:lang w:val="fr-FR"/>
        </w:rPr>
        <w:t>aux termes duquel</w:t>
      </w:r>
      <w:r w:rsidR="00556A04" w:rsidRPr="00F40FBE">
        <w:rPr>
          <w:lang w:val="fr-FR"/>
        </w:rPr>
        <w:t> :</w:t>
      </w:r>
    </w:p>
    <w:p w:rsidR="00F84635" w:rsidRPr="00F40FBE" w:rsidRDefault="003F2FC4" w:rsidP="00F40FBE">
      <w:pPr>
        <w:pStyle w:val="ECHRParaQuote"/>
        <w:rPr>
          <w:lang w:val="fr-FR"/>
        </w:rPr>
      </w:pPr>
      <w:r w:rsidRPr="00F40FBE">
        <w:rPr>
          <w:lang w:val="fr-FR"/>
        </w:rPr>
        <w:t>«</w:t>
      </w:r>
      <w:r w:rsidR="00F84635" w:rsidRPr="00F40FBE">
        <w:rPr>
          <w:lang w:val="fr-FR"/>
        </w:rPr>
        <w:t xml:space="preserve"> Toute personne a droit à ce que sa cause soit entendue (...) dans un délai raisonnable, par un tribunal (...), qui décidera (...) </w:t>
      </w:r>
      <w:r w:rsidRPr="00F40FBE">
        <w:rPr>
          <w:lang w:val="fr-FR"/>
        </w:rPr>
        <w:t>des contestations sur ses droits et obligations de caractère civil (...)</w:t>
      </w:r>
      <w:r w:rsidR="00F84635" w:rsidRPr="00F40FBE">
        <w:rPr>
          <w:lang w:val="fr-FR"/>
        </w:rPr>
        <w:t> </w:t>
      </w:r>
      <w:r w:rsidRPr="00F40FBE">
        <w:rPr>
          <w:lang w:val="fr-FR"/>
        </w:rPr>
        <w:t>»</w:t>
      </w:r>
    </w:p>
    <w:p w:rsidR="00F84635" w:rsidRPr="00F40FBE" w:rsidRDefault="00F84635" w:rsidP="00F40FBE">
      <w:pPr>
        <w:pStyle w:val="ECHRHeading2"/>
        <w:rPr>
          <w:lang w:val="fr-FR"/>
        </w:rPr>
      </w:pPr>
      <w:r w:rsidRPr="00F40FBE">
        <w:rPr>
          <w:lang w:val="fr-FR"/>
        </w:rPr>
        <w:t>A.  Sur la recevabilité</w:t>
      </w:r>
    </w:p>
    <w:p w:rsidR="00042114" w:rsidRPr="00F40FBE" w:rsidRDefault="008B36A0" w:rsidP="00F40FBE">
      <w:pPr>
        <w:pStyle w:val="ECHRHeading3"/>
        <w:rPr>
          <w:lang w:val="fr-FR"/>
        </w:rPr>
      </w:pPr>
      <w:r w:rsidRPr="00F40FBE">
        <w:rPr>
          <w:lang w:val="fr-FR"/>
        </w:rPr>
        <w:t>1.</w:t>
      </w:r>
      <w:r w:rsidR="008647B1" w:rsidRPr="00F40FBE">
        <w:rPr>
          <w:lang w:val="fr-FR"/>
        </w:rPr>
        <w:t>  </w:t>
      </w:r>
      <w:r w:rsidRPr="00F40FBE">
        <w:rPr>
          <w:lang w:val="fr-FR"/>
        </w:rPr>
        <w:t>Sur l</w:t>
      </w:r>
      <w:r w:rsidR="00F40FBE" w:rsidRPr="00F40FBE">
        <w:rPr>
          <w:lang w:val="fr-FR"/>
        </w:rPr>
        <w:t>’</w:t>
      </w:r>
      <w:r w:rsidRPr="00F40FBE">
        <w:rPr>
          <w:lang w:val="fr-FR"/>
        </w:rPr>
        <w:t>applicabilité</w:t>
      </w:r>
    </w:p>
    <w:p w:rsidR="009E286D" w:rsidRPr="00F40FBE" w:rsidRDefault="00947062" w:rsidP="00F40FBE">
      <w:pPr>
        <w:pStyle w:val="ECHRPara"/>
        <w:rPr>
          <w:lang w:val="pl-PL"/>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22</w:t>
      </w:r>
      <w:r w:rsidRPr="00F40FBE">
        <w:rPr>
          <w:lang w:val="fr-FR"/>
        </w:rPr>
        <w:fldChar w:fldCharType="end"/>
      </w:r>
      <w:r w:rsidRPr="00F40FBE">
        <w:rPr>
          <w:lang w:val="fr-FR"/>
        </w:rPr>
        <w:t>.  </w:t>
      </w:r>
      <w:r w:rsidR="009E286D" w:rsidRPr="00F40FBE">
        <w:rPr>
          <w:lang w:val="fr-FR"/>
        </w:rPr>
        <w:t xml:space="preserve">La Cour rappelle que, dans chaque affaire </w:t>
      </w:r>
      <w:r w:rsidR="003C0656" w:rsidRPr="00F40FBE">
        <w:rPr>
          <w:lang w:val="fr-FR"/>
        </w:rPr>
        <w:t>qui lui est présentée</w:t>
      </w:r>
      <w:r w:rsidR="009E286D" w:rsidRPr="00F40FBE">
        <w:rPr>
          <w:lang w:val="fr-FR"/>
        </w:rPr>
        <w:t>, elle doit s</w:t>
      </w:r>
      <w:r w:rsidR="00F40FBE" w:rsidRPr="00F40FBE">
        <w:rPr>
          <w:lang w:val="fr-FR"/>
        </w:rPr>
        <w:t>’</w:t>
      </w:r>
      <w:r w:rsidR="009E286D" w:rsidRPr="00F40FBE">
        <w:rPr>
          <w:lang w:val="fr-FR"/>
        </w:rPr>
        <w:t>assurer qu</w:t>
      </w:r>
      <w:r w:rsidR="00F40FBE" w:rsidRPr="00F40FBE">
        <w:rPr>
          <w:lang w:val="fr-FR"/>
        </w:rPr>
        <w:t>’</w:t>
      </w:r>
      <w:r w:rsidR="009E286D" w:rsidRPr="00F40FBE">
        <w:rPr>
          <w:lang w:val="fr-FR"/>
        </w:rPr>
        <w:t xml:space="preserve">elle est compétente pour connaître de la requête, et </w:t>
      </w:r>
      <w:r w:rsidR="00365D19" w:rsidRPr="00F40FBE">
        <w:rPr>
          <w:lang w:val="fr-FR"/>
        </w:rPr>
        <w:t>qu</w:t>
      </w:r>
      <w:r w:rsidR="00F40FBE" w:rsidRPr="00F40FBE">
        <w:rPr>
          <w:lang w:val="fr-FR"/>
        </w:rPr>
        <w:t>’</w:t>
      </w:r>
      <w:r w:rsidR="009E286D" w:rsidRPr="00F40FBE">
        <w:rPr>
          <w:lang w:val="fr-FR"/>
        </w:rPr>
        <w:t xml:space="preserve">il lui faut </w:t>
      </w:r>
      <w:r w:rsidR="003D5EC7" w:rsidRPr="00F40FBE">
        <w:rPr>
          <w:lang w:val="fr-FR"/>
        </w:rPr>
        <w:t xml:space="preserve">donc </w:t>
      </w:r>
      <w:r w:rsidR="009E286D" w:rsidRPr="00F40FBE">
        <w:rPr>
          <w:lang w:val="fr-FR"/>
        </w:rPr>
        <w:t>à chaque stade de la procédure examiner la question de sa compétence (</w:t>
      </w:r>
      <w:r w:rsidR="009E286D" w:rsidRPr="00F40FBE">
        <w:rPr>
          <w:i/>
          <w:lang w:val="pl-PL"/>
        </w:rPr>
        <w:t xml:space="preserve">Blečić c. Croatie </w:t>
      </w:r>
      <w:r w:rsidR="009E286D" w:rsidRPr="00F40FBE">
        <w:rPr>
          <w:lang w:val="pl-PL"/>
        </w:rPr>
        <w:t>[GC], n</w:t>
      </w:r>
      <w:r w:rsidR="009E286D" w:rsidRPr="00F40FBE">
        <w:rPr>
          <w:vertAlign w:val="superscript"/>
          <w:lang w:val="pl-PL"/>
        </w:rPr>
        <w:t>o</w:t>
      </w:r>
      <w:r w:rsidR="009E286D" w:rsidRPr="00F40FBE">
        <w:rPr>
          <w:lang w:val="pl-PL"/>
        </w:rPr>
        <w:t xml:space="preserve"> 59532/00, § 67, CEDH 2006</w:t>
      </w:r>
      <w:r w:rsidR="009E286D" w:rsidRPr="00F40FBE">
        <w:rPr>
          <w:lang w:val="pl-PL"/>
        </w:rPr>
        <w:noBreakHyphen/>
        <w:t>III).</w:t>
      </w:r>
    </w:p>
    <w:p w:rsidR="007246C2" w:rsidRPr="00F40FBE" w:rsidRDefault="009E286D"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23</w:t>
      </w:r>
      <w:r w:rsidRPr="00F40FBE">
        <w:rPr>
          <w:lang w:val="fr-FR"/>
        </w:rPr>
        <w:fldChar w:fldCharType="end"/>
      </w:r>
      <w:r w:rsidRPr="00F40FBE">
        <w:rPr>
          <w:lang w:val="fr-FR"/>
        </w:rPr>
        <w:t>.  </w:t>
      </w:r>
      <w:r w:rsidR="007246C2" w:rsidRPr="00F40FBE">
        <w:rPr>
          <w:lang w:val="fr-FR"/>
        </w:rPr>
        <w:t>Dans la présente affaire, la Cour est amenée à se prononcer sur l</w:t>
      </w:r>
      <w:r w:rsidR="00F40FBE" w:rsidRPr="00F40FBE">
        <w:rPr>
          <w:lang w:val="fr-FR"/>
        </w:rPr>
        <w:t>’</w:t>
      </w:r>
      <w:r w:rsidR="007246C2" w:rsidRPr="00F40FBE">
        <w:rPr>
          <w:lang w:val="fr-FR"/>
        </w:rPr>
        <w:t>applicabilité de l</w:t>
      </w:r>
      <w:r w:rsidR="00F40FBE" w:rsidRPr="00F40FBE">
        <w:rPr>
          <w:lang w:val="fr-FR"/>
        </w:rPr>
        <w:t>’</w:t>
      </w:r>
      <w:r w:rsidR="007246C2" w:rsidRPr="00F40FBE">
        <w:rPr>
          <w:lang w:val="fr-FR"/>
        </w:rPr>
        <w:t>article 6 de la Convention à la liquidation administrative.</w:t>
      </w:r>
    </w:p>
    <w:p w:rsidR="00675761" w:rsidRPr="00F40FBE" w:rsidRDefault="007246C2"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24</w:t>
      </w:r>
      <w:r w:rsidRPr="00F40FBE">
        <w:rPr>
          <w:lang w:val="fr-FR"/>
        </w:rPr>
        <w:fldChar w:fldCharType="end"/>
      </w:r>
      <w:r w:rsidRPr="00F40FBE">
        <w:rPr>
          <w:lang w:val="fr-FR"/>
        </w:rPr>
        <w:t xml:space="preserve">.  La seule autre </w:t>
      </w:r>
      <w:r w:rsidR="00D37FBF" w:rsidRPr="00F40FBE">
        <w:rPr>
          <w:lang w:val="fr-FR"/>
        </w:rPr>
        <w:t>occasion</w:t>
      </w:r>
      <w:r w:rsidR="00365D19" w:rsidRPr="00F40FBE">
        <w:rPr>
          <w:lang w:val="fr-FR"/>
        </w:rPr>
        <w:t xml:space="preserve"> </w:t>
      </w:r>
      <w:r w:rsidRPr="00F40FBE">
        <w:rPr>
          <w:lang w:val="fr-FR"/>
        </w:rPr>
        <w:t>dans laquelle un organe de la</w:t>
      </w:r>
      <w:r w:rsidR="003C0656" w:rsidRPr="00F40FBE">
        <w:rPr>
          <w:lang w:val="fr-FR"/>
        </w:rPr>
        <w:t xml:space="preserve"> Convention s</w:t>
      </w:r>
      <w:r w:rsidR="00F40FBE" w:rsidRPr="00F40FBE">
        <w:rPr>
          <w:lang w:val="fr-FR"/>
        </w:rPr>
        <w:t>’</w:t>
      </w:r>
      <w:r w:rsidR="003C0656" w:rsidRPr="00F40FBE">
        <w:rPr>
          <w:lang w:val="fr-FR"/>
        </w:rPr>
        <w:t>est prononcé sur s</w:t>
      </w:r>
      <w:r w:rsidRPr="00F40FBE">
        <w:rPr>
          <w:lang w:val="fr-FR"/>
        </w:rPr>
        <w:t>a comp</w:t>
      </w:r>
      <w:r w:rsidR="00A95BC0" w:rsidRPr="00F40FBE">
        <w:rPr>
          <w:lang w:val="fr-FR"/>
        </w:rPr>
        <w:t>étence</w:t>
      </w:r>
      <w:r w:rsidR="003C0656" w:rsidRPr="00F40FBE">
        <w:rPr>
          <w:lang w:val="fr-FR"/>
        </w:rPr>
        <w:t xml:space="preserve"> à </w:t>
      </w:r>
      <w:r w:rsidR="00B1718D" w:rsidRPr="00F40FBE">
        <w:rPr>
          <w:lang w:val="fr-FR"/>
        </w:rPr>
        <w:t>statuer sur cette procédure</w:t>
      </w:r>
      <w:r w:rsidRPr="00F40FBE">
        <w:rPr>
          <w:lang w:val="fr-FR"/>
        </w:rPr>
        <w:t xml:space="preserve"> </w:t>
      </w:r>
      <w:r w:rsidR="00D37FBF" w:rsidRPr="00F40FBE">
        <w:rPr>
          <w:lang w:val="fr-FR"/>
        </w:rPr>
        <w:t>a été dans l</w:t>
      </w:r>
      <w:r w:rsidR="00F40FBE" w:rsidRPr="00F40FBE">
        <w:rPr>
          <w:lang w:val="fr-FR"/>
        </w:rPr>
        <w:t>’</w:t>
      </w:r>
      <w:r w:rsidR="00D37FBF" w:rsidRPr="00F40FBE">
        <w:rPr>
          <w:lang w:val="fr-FR"/>
        </w:rPr>
        <w:t>affaire</w:t>
      </w:r>
      <w:r w:rsidRPr="00F40FBE">
        <w:rPr>
          <w:lang w:val="fr-FR"/>
        </w:rPr>
        <w:t xml:space="preserve"> </w:t>
      </w:r>
      <w:r w:rsidRPr="00F40FBE">
        <w:rPr>
          <w:i/>
          <w:lang w:val="fr-FR"/>
        </w:rPr>
        <w:t>F.L.</w:t>
      </w:r>
      <w:r w:rsidR="00930B64" w:rsidRPr="00F40FBE">
        <w:rPr>
          <w:i/>
          <w:lang w:val="fr-FR"/>
        </w:rPr>
        <w:t xml:space="preserve"> c. Italie </w:t>
      </w:r>
      <w:r w:rsidR="00365D19" w:rsidRPr="00F40FBE">
        <w:rPr>
          <w:lang w:val="fr-FR"/>
        </w:rPr>
        <w:t>(</w:t>
      </w:r>
      <w:r w:rsidR="00930B64" w:rsidRPr="00F40FBE">
        <w:rPr>
          <w:lang w:val="fr-FR"/>
        </w:rPr>
        <w:t>n</w:t>
      </w:r>
      <w:r w:rsidR="00930B64" w:rsidRPr="00F40FBE">
        <w:rPr>
          <w:vertAlign w:val="superscript"/>
          <w:lang w:val="fr-FR"/>
        </w:rPr>
        <w:t>o</w:t>
      </w:r>
      <w:r w:rsidR="00930B64" w:rsidRPr="00F40FBE">
        <w:rPr>
          <w:lang w:val="fr-FR"/>
        </w:rPr>
        <w:t xml:space="preserve"> 25639/94, décision de la Commission du 12 avril </w:t>
      </w:r>
      <w:r w:rsidR="00930B64" w:rsidRPr="00F40FBE">
        <w:rPr>
          <w:lang w:val="fr-FR"/>
        </w:rPr>
        <w:lastRenderedPageBreak/>
        <w:t>1996</w:t>
      </w:r>
      <w:r w:rsidR="00DC4E20" w:rsidRPr="00F40FBE">
        <w:rPr>
          <w:lang w:val="fr-FR"/>
        </w:rPr>
        <w:t>, non publiée</w:t>
      </w:r>
      <w:r w:rsidR="00930B64" w:rsidRPr="00F40FBE">
        <w:rPr>
          <w:lang w:val="fr-FR"/>
        </w:rPr>
        <w:t xml:space="preserve">). Dans sa </w:t>
      </w:r>
      <w:r w:rsidR="000038D3" w:rsidRPr="00F40FBE">
        <w:rPr>
          <w:lang w:val="fr-FR"/>
        </w:rPr>
        <w:t>décision partielle sur la recevabilité de la requête, la Commission a écarté le grief tiré de la durée de la procédure</w:t>
      </w:r>
      <w:r w:rsidR="00365D19" w:rsidRPr="00F40FBE">
        <w:rPr>
          <w:lang w:val="fr-FR"/>
        </w:rPr>
        <w:t>,</w:t>
      </w:r>
      <w:r w:rsidR="000038D3" w:rsidRPr="00F40FBE">
        <w:rPr>
          <w:lang w:val="fr-FR"/>
        </w:rPr>
        <w:t xml:space="preserve"> estimant </w:t>
      </w:r>
      <w:r w:rsidR="00365D19" w:rsidRPr="00F40FBE">
        <w:rPr>
          <w:lang w:val="fr-FR"/>
        </w:rPr>
        <w:t xml:space="preserve">que celle-ci </w:t>
      </w:r>
      <w:r w:rsidR="00675761" w:rsidRPr="00F40FBE">
        <w:rPr>
          <w:lang w:val="fr-FR"/>
        </w:rPr>
        <w:t>s</w:t>
      </w:r>
      <w:r w:rsidR="00F40FBE" w:rsidRPr="00F40FBE">
        <w:rPr>
          <w:lang w:val="fr-FR"/>
        </w:rPr>
        <w:t>’</w:t>
      </w:r>
      <w:r w:rsidR="00675761" w:rsidRPr="00F40FBE">
        <w:rPr>
          <w:lang w:val="fr-FR"/>
        </w:rPr>
        <w:t>était déroulée sous la direction de l</w:t>
      </w:r>
      <w:r w:rsidR="00F40FBE" w:rsidRPr="00F40FBE">
        <w:rPr>
          <w:lang w:val="fr-FR"/>
        </w:rPr>
        <w:t>’</w:t>
      </w:r>
      <w:r w:rsidR="00675761" w:rsidRPr="00F40FBE">
        <w:rPr>
          <w:lang w:val="fr-FR"/>
        </w:rPr>
        <w:t>autorité</w:t>
      </w:r>
      <w:r w:rsidR="00A106F8" w:rsidRPr="00F40FBE">
        <w:rPr>
          <w:lang w:val="fr-FR"/>
        </w:rPr>
        <w:t xml:space="preserve"> administrative</w:t>
      </w:r>
      <w:r w:rsidR="00930B64" w:rsidRPr="00F40FBE">
        <w:rPr>
          <w:lang w:val="fr-FR"/>
        </w:rPr>
        <w:t xml:space="preserve">. Elle a </w:t>
      </w:r>
      <w:r w:rsidR="00A95BC0" w:rsidRPr="00F40FBE">
        <w:rPr>
          <w:lang w:val="fr-FR"/>
        </w:rPr>
        <w:t xml:space="preserve">ainsi </w:t>
      </w:r>
      <w:r w:rsidR="00930B64" w:rsidRPr="00F40FBE">
        <w:rPr>
          <w:lang w:val="fr-FR"/>
        </w:rPr>
        <w:t xml:space="preserve">jugé </w:t>
      </w:r>
      <w:r w:rsidR="00675761" w:rsidRPr="00F40FBE">
        <w:rPr>
          <w:lang w:val="fr-FR"/>
        </w:rPr>
        <w:t>qu</w:t>
      </w:r>
      <w:r w:rsidR="00F40FBE" w:rsidRPr="00F40FBE">
        <w:rPr>
          <w:lang w:val="fr-FR"/>
        </w:rPr>
        <w:t>’</w:t>
      </w:r>
      <w:r w:rsidR="00675761" w:rsidRPr="00F40FBE">
        <w:rPr>
          <w:lang w:val="fr-FR"/>
        </w:rPr>
        <w:t>il n</w:t>
      </w:r>
      <w:r w:rsidR="00F40FBE" w:rsidRPr="00F40FBE">
        <w:rPr>
          <w:lang w:val="fr-FR"/>
        </w:rPr>
        <w:t>’</w:t>
      </w:r>
      <w:r w:rsidR="00675761" w:rsidRPr="00F40FBE">
        <w:rPr>
          <w:lang w:val="fr-FR"/>
        </w:rPr>
        <w:t xml:space="preserve">y avait pas de </w:t>
      </w:r>
      <w:r w:rsidR="0056384F" w:rsidRPr="00F40FBE">
        <w:rPr>
          <w:lang w:val="fr-FR"/>
        </w:rPr>
        <w:t>« </w:t>
      </w:r>
      <w:r w:rsidR="00675761" w:rsidRPr="00F40FBE">
        <w:rPr>
          <w:lang w:val="fr-FR"/>
        </w:rPr>
        <w:t>contestation</w:t>
      </w:r>
      <w:r w:rsidR="0056384F" w:rsidRPr="00F40FBE">
        <w:rPr>
          <w:lang w:val="fr-FR"/>
        </w:rPr>
        <w:t> »</w:t>
      </w:r>
      <w:r w:rsidR="00675761" w:rsidRPr="00F40FBE">
        <w:rPr>
          <w:lang w:val="fr-FR"/>
        </w:rPr>
        <w:t xml:space="preserve"> portant sur l</w:t>
      </w:r>
      <w:r w:rsidR="00F40FBE" w:rsidRPr="00F40FBE">
        <w:rPr>
          <w:lang w:val="fr-FR"/>
        </w:rPr>
        <w:t>’</w:t>
      </w:r>
      <w:r w:rsidR="00675761" w:rsidRPr="00F40FBE">
        <w:rPr>
          <w:lang w:val="fr-FR"/>
        </w:rPr>
        <w:t>existence même ou les modalités ou l</w:t>
      </w:r>
      <w:r w:rsidR="00F40FBE" w:rsidRPr="00F40FBE">
        <w:rPr>
          <w:lang w:val="fr-FR"/>
        </w:rPr>
        <w:t>’</w:t>
      </w:r>
      <w:r w:rsidR="00675761" w:rsidRPr="00F40FBE">
        <w:rPr>
          <w:lang w:val="fr-FR"/>
        </w:rPr>
        <w:t>étendue du droit du requérant.</w:t>
      </w:r>
    </w:p>
    <w:p w:rsidR="00927822" w:rsidRPr="00F40FBE" w:rsidRDefault="00930B6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25</w:t>
      </w:r>
      <w:r w:rsidRPr="00F40FBE">
        <w:rPr>
          <w:lang w:val="fr-FR"/>
        </w:rPr>
        <w:fldChar w:fldCharType="end"/>
      </w:r>
      <w:r w:rsidRPr="00F40FBE">
        <w:rPr>
          <w:lang w:val="fr-FR"/>
        </w:rPr>
        <w:t>.  </w:t>
      </w:r>
      <w:r w:rsidR="003C0656" w:rsidRPr="00F40FBE">
        <w:rPr>
          <w:lang w:val="fr-FR"/>
        </w:rPr>
        <w:t>L</w:t>
      </w:r>
      <w:r w:rsidR="00A95BC0" w:rsidRPr="00F40FBE">
        <w:rPr>
          <w:lang w:val="fr-FR"/>
        </w:rPr>
        <w:t xml:space="preserve">a Cour </w:t>
      </w:r>
      <w:r w:rsidR="0049533C" w:rsidRPr="00F40FBE">
        <w:rPr>
          <w:lang w:val="fr-FR"/>
        </w:rPr>
        <w:t>considère</w:t>
      </w:r>
      <w:r w:rsidR="00A95BC0" w:rsidRPr="00F40FBE">
        <w:rPr>
          <w:lang w:val="fr-FR"/>
        </w:rPr>
        <w:t xml:space="preserve"> qu</w:t>
      </w:r>
      <w:r w:rsidR="00F40FBE" w:rsidRPr="00F40FBE">
        <w:rPr>
          <w:lang w:val="fr-FR"/>
        </w:rPr>
        <w:t>’</w:t>
      </w:r>
      <w:r w:rsidR="00A95BC0" w:rsidRPr="00F40FBE">
        <w:rPr>
          <w:lang w:val="fr-FR"/>
        </w:rPr>
        <w:t>il y a lieu d</w:t>
      </w:r>
      <w:r w:rsidR="00F40FBE" w:rsidRPr="00F40FBE">
        <w:rPr>
          <w:lang w:val="fr-FR"/>
        </w:rPr>
        <w:t>’</w:t>
      </w:r>
      <w:r w:rsidR="00A95BC0" w:rsidRPr="00F40FBE">
        <w:rPr>
          <w:lang w:val="fr-FR"/>
        </w:rPr>
        <w:t>analyse</w:t>
      </w:r>
      <w:r w:rsidR="007E6FDD" w:rsidRPr="00F40FBE">
        <w:rPr>
          <w:lang w:val="fr-FR"/>
        </w:rPr>
        <w:t>r</w:t>
      </w:r>
      <w:r w:rsidR="00A95BC0" w:rsidRPr="00F40FBE">
        <w:rPr>
          <w:lang w:val="fr-FR"/>
        </w:rPr>
        <w:t xml:space="preserve"> </w:t>
      </w:r>
      <w:r w:rsidR="004B3A70" w:rsidRPr="00F40FBE">
        <w:rPr>
          <w:lang w:val="fr-FR"/>
        </w:rPr>
        <w:t>plus</w:t>
      </w:r>
      <w:r w:rsidR="00A95BC0" w:rsidRPr="00F40FBE">
        <w:rPr>
          <w:lang w:val="fr-FR"/>
        </w:rPr>
        <w:t xml:space="preserve"> en détail la question.</w:t>
      </w:r>
      <w:r w:rsidR="006A27E7" w:rsidRPr="00F40FBE">
        <w:rPr>
          <w:lang w:val="fr-FR"/>
        </w:rPr>
        <w:t xml:space="preserve"> Elle estime que des arguments convaincants militent </w:t>
      </w:r>
      <w:r w:rsidR="003D5EC7" w:rsidRPr="00F40FBE">
        <w:rPr>
          <w:lang w:val="fr-FR"/>
        </w:rPr>
        <w:t>en faveur d</w:t>
      </w:r>
      <w:r w:rsidR="00F40FBE" w:rsidRPr="00F40FBE">
        <w:rPr>
          <w:lang w:val="fr-FR"/>
        </w:rPr>
        <w:t>’</w:t>
      </w:r>
      <w:r w:rsidR="006A27E7" w:rsidRPr="00F40FBE">
        <w:rPr>
          <w:lang w:val="fr-FR"/>
        </w:rPr>
        <w:t>une nouvelle approche qui permet d</w:t>
      </w:r>
      <w:r w:rsidR="00F40FBE" w:rsidRPr="00F40FBE">
        <w:rPr>
          <w:lang w:val="fr-FR"/>
        </w:rPr>
        <w:t>’</w:t>
      </w:r>
      <w:r w:rsidR="006A27E7" w:rsidRPr="00F40FBE">
        <w:rPr>
          <w:lang w:val="fr-FR"/>
        </w:rPr>
        <w:t xml:space="preserve">harmoniser </w:t>
      </w:r>
      <w:r w:rsidR="0060453A" w:rsidRPr="00F40FBE">
        <w:rPr>
          <w:lang w:val="fr-FR"/>
        </w:rPr>
        <w:t xml:space="preserve">sa jurisprudence en ce qui concerne </w:t>
      </w:r>
      <w:r w:rsidR="006A27E7" w:rsidRPr="00F40FBE">
        <w:rPr>
          <w:lang w:val="fr-FR"/>
        </w:rPr>
        <w:t xml:space="preserve">les garanties accordées aux créanciers, que ce soit dans le cadre de la procédure de faillite ou </w:t>
      </w:r>
      <w:r w:rsidR="00365D19" w:rsidRPr="00F40FBE">
        <w:rPr>
          <w:lang w:val="fr-FR"/>
        </w:rPr>
        <w:t xml:space="preserve">dans celui </w:t>
      </w:r>
      <w:r w:rsidR="006A27E7" w:rsidRPr="00F40FBE">
        <w:rPr>
          <w:lang w:val="fr-FR"/>
        </w:rPr>
        <w:t xml:space="preserve">de </w:t>
      </w:r>
      <w:r w:rsidR="00365D19" w:rsidRPr="00F40FBE">
        <w:rPr>
          <w:lang w:val="fr-FR"/>
        </w:rPr>
        <w:t xml:space="preserve">la </w:t>
      </w:r>
      <w:r w:rsidR="006A27E7" w:rsidRPr="00F40FBE">
        <w:rPr>
          <w:lang w:val="fr-FR"/>
        </w:rPr>
        <w:t>liquidation administrative</w:t>
      </w:r>
      <w:r w:rsidR="00365D19" w:rsidRPr="00F40FBE">
        <w:rPr>
          <w:lang w:val="fr-FR"/>
        </w:rPr>
        <w:t>,</w:t>
      </w:r>
      <w:r w:rsidR="006A27E7" w:rsidRPr="00F40FBE">
        <w:rPr>
          <w:lang w:val="fr-FR"/>
        </w:rPr>
        <w:t xml:space="preserve"> et donc indépendamment de la nature du sujet </w:t>
      </w:r>
      <w:r w:rsidR="004A6A9B" w:rsidRPr="00F40FBE">
        <w:rPr>
          <w:lang w:val="fr-FR"/>
        </w:rPr>
        <w:t xml:space="preserve">débiteur </w:t>
      </w:r>
      <w:r w:rsidR="006A27E7" w:rsidRPr="00F40FBE">
        <w:rPr>
          <w:lang w:val="fr-FR"/>
        </w:rPr>
        <w:t>en</w:t>
      </w:r>
      <w:r w:rsidR="004A6A9B" w:rsidRPr="00F40FBE">
        <w:rPr>
          <w:lang w:val="fr-FR"/>
        </w:rPr>
        <w:t xml:space="preserve"> état de</w:t>
      </w:r>
      <w:r w:rsidR="006A27E7" w:rsidRPr="00F40FBE">
        <w:rPr>
          <w:lang w:val="fr-FR"/>
        </w:rPr>
        <w:t xml:space="preserve"> cessation de paiements.</w:t>
      </w:r>
    </w:p>
    <w:p w:rsidR="00A346CD" w:rsidRPr="00F40FBE" w:rsidRDefault="00351D9F"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26</w:t>
      </w:r>
      <w:r w:rsidRPr="00F40FBE">
        <w:rPr>
          <w:lang w:val="fr-FR"/>
        </w:rPr>
        <w:fldChar w:fldCharType="end"/>
      </w:r>
      <w:r w:rsidRPr="00F40FBE">
        <w:rPr>
          <w:lang w:val="fr-FR"/>
        </w:rPr>
        <w:t>.  </w:t>
      </w:r>
      <w:r w:rsidR="00F03C8D" w:rsidRPr="00F40FBE">
        <w:rPr>
          <w:lang w:val="fr-FR"/>
        </w:rPr>
        <w:t>Tout d</w:t>
      </w:r>
      <w:r w:rsidR="00F40FBE" w:rsidRPr="00F40FBE">
        <w:rPr>
          <w:lang w:val="fr-FR"/>
        </w:rPr>
        <w:t>’</w:t>
      </w:r>
      <w:r w:rsidR="00F03C8D" w:rsidRPr="00F40FBE">
        <w:rPr>
          <w:lang w:val="fr-FR"/>
        </w:rPr>
        <w:t>abord, la Cour observe que l</w:t>
      </w:r>
      <w:r w:rsidR="00882D17" w:rsidRPr="00F40FBE">
        <w:rPr>
          <w:lang w:val="fr-FR"/>
        </w:rPr>
        <w:t>a</w:t>
      </w:r>
      <w:r w:rsidR="00764F75" w:rsidRPr="00F40FBE">
        <w:rPr>
          <w:lang w:val="fr-FR"/>
        </w:rPr>
        <w:t xml:space="preserve"> </w:t>
      </w:r>
      <w:r w:rsidR="004145F2" w:rsidRPr="00F40FBE">
        <w:rPr>
          <w:i/>
          <w:lang w:val="fr-FR"/>
        </w:rPr>
        <w:t>ratio</w:t>
      </w:r>
      <w:r w:rsidR="00E4690D" w:rsidRPr="00F40FBE">
        <w:rPr>
          <w:lang w:val="fr-FR"/>
        </w:rPr>
        <w:t xml:space="preserve"> d</w:t>
      </w:r>
      <w:r w:rsidR="00E23AB5" w:rsidRPr="00F40FBE">
        <w:rPr>
          <w:lang w:val="fr-FR"/>
        </w:rPr>
        <w:t>e la</w:t>
      </w:r>
      <w:r w:rsidR="004145F2" w:rsidRPr="00F40FBE">
        <w:rPr>
          <w:lang w:val="fr-FR"/>
        </w:rPr>
        <w:t xml:space="preserve"> discipline dédiée</w:t>
      </w:r>
      <w:r w:rsidR="00AF1903" w:rsidRPr="00F40FBE">
        <w:rPr>
          <w:lang w:val="fr-FR"/>
        </w:rPr>
        <w:t xml:space="preserve"> </w:t>
      </w:r>
      <w:r w:rsidR="003C0656" w:rsidRPr="00F40FBE">
        <w:rPr>
          <w:lang w:val="fr-FR"/>
        </w:rPr>
        <w:t>à la liquidation administrative</w:t>
      </w:r>
      <w:r w:rsidR="00882D17" w:rsidRPr="00F40FBE">
        <w:rPr>
          <w:lang w:val="fr-FR"/>
        </w:rPr>
        <w:t xml:space="preserve"> </w:t>
      </w:r>
      <w:r w:rsidR="00F80F6A" w:rsidRPr="00F40FBE">
        <w:rPr>
          <w:lang w:val="fr-FR"/>
        </w:rPr>
        <w:t>est de répondre à</w:t>
      </w:r>
      <w:r w:rsidR="00764F75" w:rsidRPr="00F40FBE">
        <w:rPr>
          <w:lang w:val="fr-FR"/>
        </w:rPr>
        <w:t xml:space="preserve"> l</w:t>
      </w:r>
      <w:r w:rsidR="00F40FBE" w:rsidRPr="00F40FBE">
        <w:rPr>
          <w:lang w:val="fr-FR"/>
        </w:rPr>
        <w:t>’</w:t>
      </w:r>
      <w:r w:rsidR="003C0656" w:rsidRPr="00F40FBE">
        <w:rPr>
          <w:lang w:val="fr-FR"/>
        </w:rPr>
        <w:t>exigence</w:t>
      </w:r>
      <w:r w:rsidR="00764F75" w:rsidRPr="00F40FBE">
        <w:rPr>
          <w:lang w:val="fr-FR"/>
        </w:rPr>
        <w:t xml:space="preserve"> </w:t>
      </w:r>
      <w:r w:rsidR="00BA694A" w:rsidRPr="00F40FBE">
        <w:rPr>
          <w:lang w:val="fr-FR"/>
        </w:rPr>
        <w:t xml:space="preserve">consistant à </w:t>
      </w:r>
      <w:r w:rsidR="00F80F6A" w:rsidRPr="00F40FBE">
        <w:rPr>
          <w:lang w:val="fr-FR"/>
        </w:rPr>
        <w:t xml:space="preserve">donner </w:t>
      </w:r>
      <w:r w:rsidR="00764F75" w:rsidRPr="00F40FBE">
        <w:rPr>
          <w:lang w:val="fr-FR"/>
        </w:rPr>
        <w:t>à l</w:t>
      </w:r>
      <w:r w:rsidR="00F40FBE" w:rsidRPr="00F40FBE">
        <w:rPr>
          <w:lang w:val="fr-FR"/>
        </w:rPr>
        <w:t>’</w:t>
      </w:r>
      <w:r w:rsidR="00764F75" w:rsidRPr="00F40FBE">
        <w:rPr>
          <w:lang w:val="fr-FR"/>
        </w:rPr>
        <w:t xml:space="preserve">État </w:t>
      </w:r>
      <w:r w:rsidR="00F80F6A" w:rsidRPr="00F40FBE">
        <w:rPr>
          <w:lang w:val="fr-FR"/>
        </w:rPr>
        <w:t xml:space="preserve">la possibilité </w:t>
      </w:r>
      <w:r w:rsidR="00764F75" w:rsidRPr="00F40FBE">
        <w:rPr>
          <w:lang w:val="fr-FR"/>
        </w:rPr>
        <w:t>d</w:t>
      </w:r>
      <w:r w:rsidR="00F40FBE" w:rsidRPr="00F40FBE">
        <w:rPr>
          <w:lang w:val="fr-FR"/>
        </w:rPr>
        <w:t>’</w:t>
      </w:r>
      <w:r w:rsidR="00764F75" w:rsidRPr="00F40FBE">
        <w:rPr>
          <w:lang w:val="fr-FR"/>
        </w:rPr>
        <w:t xml:space="preserve">intervenir directement </w:t>
      </w:r>
      <w:r w:rsidR="0049533C" w:rsidRPr="00F40FBE">
        <w:rPr>
          <w:lang w:val="fr-FR"/>
        </w:rPr>
        <w:t>et de surveiller</w:t>
      </w:r>
      <w:r w:rsidR="00764F75" w:rsidRPr="00F40FBE">
        <w:rPr>
          <w:lang w:val="fr-FR"/>
        </w:rPr>
        <w:t xml:space="preserve"> </w:t>
      </w:r>
      <w:r w:rsidR="00FE5758" w:rsidRPr="00F40FBE">
        <w:rPr>
          <w:lang w:val="fr-FR"/>
        </w:rPr>
        <w:t xml:space="preserve">la procédure </w:t>
      </w:r>
      <w:r w:rsidR="00E4690D" w:rsidRPr="00F40FBE">
        <w:rPr>
          <w:lang w:val="fr-FR"/>
        </w:rPr>
        <w:t>qui</w:t>
      </w:r>
      <w:r w:rsidRPr="00F40FBE">
        <w:rPr>
          <w:lang w:val="fr-FR"/>
        </w:rPr>
        <w:t xml:space="preserve"> fait suite à</w:t>
      </w:r>
      <w:r w:rsidR="00E4690D" w:rsidRPr="00F40FBE">
        <w:rPr>
          <w:lang w:val="fr-FR"/>
        </w:rPr>
        <w:t xml:space="preserve"> la cessation de paiements </w:t>
      </w:r>
      <w:r w:rsidR="00B84014" w:rsidRPr="00F40FBE">
        <w:rPr>
          <w:lang w:val="fr-FR"/>
        </w:rPr>
        <w:t>de certaines catégories de sociétés actives dans des secteurs économiques stratégiques</w:t>
      </w:r>
      <w:r w:rsidR="00FE5758" w:rsidRPr="00F40FBE">
        <w:rPr>
          <w:lang w:val="fr-FR"/>
        </w:rPr>
        <w:t>.</w:t>
      </w:r>
    </w:p>
    <w:p w:rsidR="00616B3E" w:rsidRPr="00F40FBE" w:rsidRDefault="00FE5758"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27</w:t>
      </w:r>
      <w:r w:rsidRPr="00F40FBE">
        <w:rPr>
          <w:lang w:val="fr-FR"/>
        </w:rPr>
        <w:fldChar w:fldCharType="end"/>
      </w:r>
      <w:r w:rsidRPr="00F40FBE">
        <w:rPr>
          <w:lang w:val="fr-FR"/>
        </w:rPr>
        <w:t>.  </w:t>
      </w:r>
      <w:r w:rsidR="00B84014" w:rsidRPr="00F40FBE">
        <w:rPr>
          <w:lang w:val="fr-FR"/>
        </w:rPr>
        <w:t>S</w:t>
      </w:r>
      <w:r w:rsidR="00F03C8D" w:rsidRPr="00F40FBE">
        <w:rPr>
          <w:lang w:val="fr-FR"/>
        </w:rPr>
        <w:t>elon le droit interne, s</w:t>
      </w:r>
      <w:r w:rsidR="00B84014" w:rsidRPr="00F40FBE">
        <w:rPr>
          <w:lang w:val="fr-FR"/>
        </w:rPr>
        <w:t>i la procédure de faillite</w:t>
      </w:r>
      <w:r w:rsidR="0049533C" w:rsidRPr="00F40FBE">
        <w:rPr>
          <w:lang w:val="fr-FR"/>
        </w:rPr>
        <w:t xml:space="preserve"> </w:t>
      </w:r>
      <w:r w:rsidR="003C0656" w:rsidRPr="00F40FBE">
        <w:rPr>
          <w:lang w:val="fr-FR"/>
        </w:rPr>
        <w:t>est pleinement</w:t>
      </w:r>
      <w:r w:rsidR="0049533C" w:rsidRPr="00F40FBE">
        <w:rPr>
          <w:lang w:val="fr-FR"/>
        </w:rPr>
        <w:t xml:space="preserve"> juridictionnelle</w:t>
      </w:r>
      <w:r w:rsidR="00B84014" w:rsidRPr="00F40FBE">
        <w:rPr>
          <w:lang w:val="fr-FR"/>
        </w:rPr>
        <w:t xml:space="preserve">, </w:t>
      </w:r>
      <w:r w:rsidR="0049533C" w:rsidRPr="00F40FBE">
        <w:rPr>
          <w:lang w:val="fr-FR"/>
        </w:rPr>
        <w:t>la liquidation administrative</w:t>
      </w:r>
      <w:r w:rsidR="0060453A" w:rsidRPr="00F40FBE">
        <w:rPr>
          <w:lang w:val="fr-FR"/>
        </w:rPr>
        <w:t xml:space="preserve"> </w:t>
      </w:r>
      <w:r w:rsidR="001234C1" w:rsidRPr="00F40FBE">
        <w:rPr>
          <w:lang w:val="fr-FR"/>
        </w:rPr>
        <w:t xml:space="preserve">a, </w:t>
      </w:r>
      <w:r w:rsidR="004145F2" w:rsidRPr="00F40FBE">
        <w:rPr>
          <w:lang w:val="fr-FR"/>
        </w:rPr>
        <w:t>en partie</w:t>
      </w:r>
      <w:r w:rsidR="001234C1" w:rsidRPr="00F40FBE">
        <w:rPr>
          <w:lang w:val="fr-FR"/>
        </w:rPr>
        <w:t>,</w:t>
      </w:r>
      <w:r w:rsidR="004145F2" w:rsidRPr="00F40FBE">
        <w:rPr>
          <w:lang w:val="fr-FR"/>
        </w:rPr>
        <w:t xml:space="preserve"> </w:t>
      </w:r>
      <w:r w:rsidR="0060453A" w:rsidRPr="00F40FBE">
        <w:rPr>
          <w:lang w:val="fr-FR"/>
        </w:rPr>
        <w:t>nature administrative ;</w:t>
      </w:r>
      <w:r w:rsidR="00476986" w:rsidRPr="00F40FBE">
        <w:rPr>
          <w:lang w:val="fr-FR"/>
        </w:rPr>
        <w:t xml:space="preserve"> le commissaire préside à l</w:t>
      </w:r>
      <w:r w:rsidR="00F40FBE" w:rsidRPr="00F40FBE">
        <w:rPr>
          <w:lang w:val="fr-FR"/>
        </w:rPr>
        <w:t>’</w:t>
      </w:r>
      <w:r w:rsidR="00476986" w:rsidRPr="00F40FBE">
        <w:rPr>
          <w:lang w:val="fr-FR"/>
        </w:rPr>
        <w:t>établissement de la liste des créances sous la supervision de l</w:t>
      </w:r>
      <w:r w:rsidR="00F40FBE" w:rsidRPr="00F40FBE">
        <w:rPr>
          <w:lang w:val="fr-FR"/>
        </w:rPr>
        <w:t>’</w:t>
      </w:r>
      <w:r w:rsidR="0049533C" w:rsidRPr="00F40FBE">
        <w:rPr>
          <w:lang w:val="fr-FR"/>
        </w:rPr>
        <w:t>autorité administrative</w:t>
      </w:r>
      <w:r w:rsidR="00476986" w:rsidRPr="00F40FBE">
        <w:rPr>
          <w:lang w:val="fr-FR"/>
        </w:rPr>
        <w:t xml:space="preserve"> </w:t>
      </w:r>
      <w:r w:rsidR="00D53055" w:rsidRPr="00F40FBE">
        <w:rPr>
          <w:lang w:val="fr-FR"/>
        </w:rPr>
        <w:t xml:space="preserve">compétente (paragraphe </w:t>
      </w:r>
      <w:r w:rsidR="004145F2" w:rsidRPr="00F40FBE">
        <w:rPr>
          <w:lang w:val="fr-FR"/>
        </w:rPr>
        <w:fldChar w:fldCharType="begin"/>
      </w:r>
      <w:r w:rsidR="004145F2" w:rsidRPr="00F40FBE">
        <w:rPr>
          <w:lang w:val="fr-FR"/>
        </w:rPr>
        <w:instrText xml:space="preserve"> REF discipline_liquidation_administrative \h </w:instrText>
      </w:r>
      <w:r w:rsidR="004145F2" w:rsidRPr="00F40FBE">
        <w:rPr>
          <w:lang w:val="fr-FR"/>
        </w:rPr>
      </w:r>
      <w:r w:rsidR="004145F2" w:rsidRPr="00F40FBE">
        <w:rPr>
          <w:lang w:val="fr-FR"/>
        </w:rPr>
        <w:fldChar w:fldCharType="separate"/>
      </w:r>
      <w:r w:rsidR="00F40FBE" w:rsidRPr="00F40FBE">
        <w:rPr>
          <w:noProof/>
          <w:lang w:val="fr-FR"/>
        </w:rPr>
        <w:t>13</w:t>
      </w:r>
      <w:r w:rsidR="004145F2" w:rsidRPr="00F40FBE">
        <w:rPr>
          <w:lang w:val="fr-FR"/>
        </w:rPr>
        <w:fldChar w:fldCharType="end"/>
      </w:r>
      <w:r w:rsidR="00D53055" w:rsidRPr="00F40FBE">
        <w:rPr>
          <w:lang w:val="fr-FR"/>
        </w:rPr>
        <w:t xml:space="preserve"> ci</w:t>
      </w:r>
      <w:r w:rsidR="00E23AB5" w:rsidRPr="00F40FBE">
        <w:rPr>
          <w:lang w:val="fr-FR"/>
        </w:rPr>
        <w:t>-</w:t>
      </w:r>
      <w:r w:rsidR="00D53055" w:rsidRPr="00F40FBE">
        <w:rPr>
          <w:lang w:val="fr-FR"/>
        </w:rPr>
        <w:t>dessus)</w:t>
      </w:r>
      <w:r w:rsidR="0049533C" w:rsidRPr="00F40FBE">
        <w:rPr>
          <w:lang w:val="fr-FR"/>
        </w:rPr>
        <w:t>.</w:t>
      </w:r>
      <w:r w:rsidR="003C0656" w:rsidRPr="00F40FBE">
        <w:rPr>
          <w:lang w:val="fr-FR"/>
        </w:rPr>
        <w:t xml:space="preserve"> </w:t>
      </w:r>
      <w:r w:rsidR="0056384F" w:rsidRPr="00F40FBE">
        <w:rPr>
          <w:lang w:val="fr-FR"/>
        </w:rPr>
        <w:t>Les é</w:t>
      </w:r>
      <w:r w:rsidR="00F231ED" w:rsidRPr="00F40FBE">
        <w:rPr>
          <w:lang w:val="fr-FR"/>
        </w:rPr>
        <w:t xml:space="preserve">ventuelles contestations de </w:t>
      </w:r>
      <w:r w:rsidR="00B1718D" w:rsidRPr="00F40FBE">
        <w:rPr>
          <w:lang w:val="fr-FR"/>
        </w:rPr>
        <w:t>la</w:t>
      </w:r>
      <w:r w:rsidR="00F231ED" w:rsidRPr="00F40FBE">
        <w:rPr>
          <w:lang w:val="fr-FR"/>
        </w:rPr>
        <w:t xml:space="preserve"> liste</w:t>
      </w:r>
      <w:r w:rsidR="00F03C8D" w:rsidRPr="00F40FBE">
        <w:rPr>
          <w:lang w:val="fr-FR"/>
        </w:rPr>
        <w:t xml:space="preserve"> des créances</w:t>
      </w:r>
      <w:r w:rsidR="00F231ED" w:rsidRPr="00F40FBE">
        <w:rPr>
          <w:lang w:val="fr-FR"/>
        </w:rPr>
        <w:t xml:space="preserve"> donnent lieu à une procédure d</w:t>
      </w:r>
      <w:r w:rsidR="00F40FBE" w:rsidRPr="00F40FBE">
        <w:rPr>
          <w:lang w:val="fr-FR"/>
        </w:rPr>
        <w:t>’</w:t>
      </w:r>
      <w:r w:rsidR="00F231ED" w:rsidRPr="00F40FBE">
        <w:rPr>
          <w:lang w:val="fr-FR"/>
        </w:rPr>
        <w:t>opposition</w:t>
      </w:r>
      <w:r w:rsidR="00B44856" w:rsidRPr="00F40FBE">
        <w:rPr>
          <w:lang w:val="fr-FR"/>
        </w:rPr>
        <w:t xml:space="preserve">, </w:t>
      </w:r>
      <w:r w:rsidR="00D53055" w:rsidRPr="00F40FBE">
        <w:rPr>
          <w:lang w:val="fr-FR"/>
        </w:rPr>
        <w:t xml:space="preserve">régie </w:t>
      </w:r>
      <w:r w:rsidR="00B44856" w:rsidRPr="00F40FBE">
        <w:rPr>
          <w:lang w:val="fr-FR"/>
        </w:rPr>
        <w:t xml:space="preserve">par les mêmes dispositions </w:t>
      </w:r>
      <w:r w:rsidR="00D53055" w:rsidRPr="00F40FBE">
        <w:rPr>
          <w:lang w:val="fr-FR"/>
        </w:rPr>
        <w:t xml:space="preserve">que celles qui </w:t>
      </w:r>
      <w:r w:rsidR="00E41277" w:rsidRPr="00F40FBE">
        <w:rPr>
          <w:lang w:val="fr-FR"/>
        </w:rPr>
        <w:t>disciplin</w:t>
      </w:r>
      <w:r w:rsidR="00D53055" w:rsidRPr="00F40FBE">
        <w:rPr>
          <w:lang w:val="fr-FR"/>
        </w:rPr>
        <w:t xml:space="preserve">ent </w:t>
      </w:r>
      <w:r w:rsidR="00B44856" w:rsidRPr="00F40FBE">
        <w:rPr>
          <w:lang w:val="fr-FR"/>
        </w:rPr>
        <w:t>l</w:t>
      </w:r>
      <w:r w:rsidR="00F40FBE" w:rsidRPr="00F40FBE">
        <w:rPr>
          <w:lang w:val="fr-FR"/>
        </w:rPr>
        <w:t>’</w:t>
      </w:r>
      <w:r w:rsidR="00B44856" w:rsidRPr="00F40FBE">
        <w:rPr>
          <w:lang w:val="fr-FR"/>
        </w:rPr>
        <w:t xml:space="preserve">opposition dans la </w:t>
      </w:r>
      <w:r w:rsidR="00826E55" w:rsidRPr="00F40FBE">
        <w:rPr>
          <w:lang w:val="fr-FR"/>
        </w:rPr>
        <w:t xml:space="preserve">procédure de </w:t>
      </w:r>
      <w:r w:rsidR="00B44856" w:rsidRPr="00F40FBE">
        <w:rPr>
          <w:lang w:val="fr-FR"/>
        </w:rPr>
        <w:t>faillite,</w:t>
      </w:r>
      <w:r w:rsidR="00F231ED" w:rsidRPr="00F40FBE">
        <w:rPr>
          <w:lang w:val="fr-FR"/>
        </w:rPr>
        <w:t xml:space="preserve"> </w:t>
      </w:r>
      <w:r w:rsidR="00B44856" w:rsidRPr="00F40FBE">
        <w:rPr>
          <w:lang w:val="fr-FR"/>
        </w:rPr>
        <w:t>dont l</w:t>
      </w:r>
      <w:r w:rsidR="00A1169F" w:rsidRPr="00F40FBE">
        <w:rPr>
          <w:lang w:val="fr-FR"/>
        </w:rPr>
        <w:t xml:space="preserve">e caractère juridictionnel ne fait </w:t>
      </w:r>
      <w:r w:rsidR="00BA694A" w:rsidRPr="00F40FBE">
        <w:rPr>
          <w:lang w:val="fr-FR"/>
        </w:rPr>
        <w:t xml:space="preserve">aucun </w:t>
      </w:r>
      <w:r w:rsidR="00A1169F" w:rsidRPr="00F40FBE">
        <w:rPr>
          <w:lang w:val="fr-FR"/>
        </w:rPr>
        <w:t>doute</w:t>
      </w:r>
      <w:r w:rsidR="00B44856" w:rsidRPr="00F40FBE">
        <w:rPr>
          <w:lang w:val="fr-FR"/>
        </w:rPr>
        <w:t>.</w:t>
      </w:r>
    </w:p>
    <w:p w:rsidR="0049533C" w:rsidRPr="00F40FBE" w:rsidRDefault="00616B3E" w:rsidP="00F40FBE">
      <w:pPr>
        <w:pStyle w:val="ECHRPara"/>
        <w:rPr>
          <w:i/>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28</w:t>
      </w:r>
      <w:r w:rsidRPr="00F40FBE">
        <w:rPr>
          <w:lang w:val="fr-FR"/>
        </w:rPr>
        <w:fldChar w:fldCharType="end"/>
      </w:r>
      <w:r w:rsidRPr="00F40FBE">
        <w:rPr>
          <w:lang w:val="fr-FR"/>
        </w:rPr>
        <w:t xml:space="preserve">.  La Cour </w:t>
      </w:r>
      <w:r w:rsidR="00F03C8D" w:rsidRPr="00F40FBE">
        <w:rPr>
          <w:lang w:val="fr-FR"/>
        </w:rPr>
        <w:t xml:space="preserve">note </w:t>
      </w:r>
      <w:r w:rsidRPr="00F40FBE">
        <w:rPr>
          <w:lang w:val="fr-FR"/>
        </w:rPr>
        <w:t>que</w:t>
      </w:r>
      <w:r w:rsidR="00B1718D" w:rsidRPr="00F40FBE">
        <w:rPr>
          <w:lang w:val="fr-FR"/>
        </w:rPr>
        <w:t xml:space="preserve"> les procédures</w:t>
      </w:r>
      <w:r w:rsidR="00E23AB5" w:rsidRPr="00F40FBE">
        <w:rPr>
          <w:lang w:val="fr-FR"/>
        </w:rPr>
        <w:t xml:space="preserve"> de faillite et de liquidation administrative</w:t>
      </w:r>
      <w:r w:rsidR="00B1718D" w:rsidRPr="00F40FBE">
        <w:rPr>
          <w:lang w:val="fr-FR"/>
        </w:rPr>
        <w:t xml:space="preserve"> ont en commun le fait que</w:t>
      </w:r>
      <w:r w:rsidR="00F231ED" w:rsidRPr="00F40FBE">
        <w:rPr>
          <w:lang w:val="fr-FR"/>
        </w:rPr>
        <w:t xml:space="preserve"> </w:t>
      </w:r>
      <w:r w:rsidR="0049533C" w:rsidRPr="00F40FBE">
        <w:rPr>
          <w:lang w:val="fr-FR"/>
        </w:rPr>
        <w:t xml:space="preserve">le créancier ne </w:t>
      </w:r>
      <w:r w:rsidR="003D5F1D" w:rsidRPr="00F40FBE">
        <w:rPr>
          <w:lang w:val="fr-FR"/>
        </w:rPr>
        <w:t xml:space="preserve">peut pas introduire devant les juridictions judiciaires </w:t>
      </w:r>
      <w:r w:rsidR="00B44856" w:rsidRPr="00F40FBE">
        <w:rPr>
          <w:lang w:val="fr-FR"/>
        </w:rPr>
        <w:t>une demande</w:t>
      </w:r>
      <w:r w:rsidR="003D5F1D" w:rsidRPr="00F40FBE">
        <w:rPr>
          <w:lang w:val="fr-FR"/>
        </w:rPr>
        <w:t xml:space="preserve"> en exécution visant à attaquer directement le patrimoine</w:t>
      </w:r>
      <w:r w:rsidR="00B44856" w:rsidRPr="00F40FBE">
        <w:rPr>
          <w:lang w:val="fr-FR"/>
        </w:rPr>
        <w:t xml:space="preserve"> de la société débitrice</w:t>
      </w:r>
      <w:r w:rsidR="00E23AB5" w:rsidRPr="00F40FBE">
        <w:rPr>
          <w:lang w:val="fr-FR"/>
        </w:rPr>
        <w:t>. En effet, le</w:t>
      </w:r>
      <w:r w:rsidR="003C0656" w:rsidRPr="00F40FBE">
        <w:rPr>
          <w:lang w:val="fr-FR"/>
        </w:rPr>
        <w:t xml:space="preserve"> </w:t>
      </w:r>
      <w:r w:rsidR="0049533C" w:rsidRPr="00F40FBE">
        <w:rPr>
          <w:lang w:val="fr-FR"/>
        </w:rPr>
        <w:t>principe de fond</w:t>
      </w:r>
      <w:r w:rsidR="00E23AB5" w:rsidRPr="00F40FBE">
        <w:rPr>
          <w:lang w:val="fr-FR"/>
        </w:rPr>
        <w:t xml:space="preserve"> visant à assurer</w:t>
      </w:r>
      <w:r w:rsidR="00D53055" w:rsidRPr="00F40FBE">
        <w:rPr>
          <w:lang w:val="fr-FR"/>
        </w:rPr>
        <w:t xml:space="preserve"> de l</w:t>
      </w:r>
      <w:r w:rsidR="00F40FBE" w:rsidRPr="00F40FBE">
        <w:rPr>
          <w:lang w:val="fr-FR"/>
        </w:rPr>
        <w:t>’</w:t>
      </w:r>
      <w:r w:rsidR="00D53055" w:rsidRPr="00F40FBE">
        <w:rPr>
          <w:lang w:val="fr-FR"/>
        </w:rPr>
        <w:t>égalité entre les créanciers (</w:t>
      </w:r>
      <w:r w:rsidR="00D53055" w:rsidRPr="00F40FBE">
        <w:rPr>
          <w:i/>
          <w:lang w:val="fr-FR"/>
        </w:rPr>
        <w:t>par condicio creditorum</w:t>
      </w:r>
      <w:r w:rsidR="00D53055" w:rsidRPr="00F40FBE">
        <w:rPr>
          <w:lang w:val="fr-FR"/>
        </w:rPr>
        <w:t>)</w:t>
      </w:r>
      <w:r w:rsidR="0049533C" w:rsidRPr="00F40FBE">
        <w:rPr>
          <w:lang w:val="fr-FR"/>
        </w:rPr>
        <w:t xml:space="preserve"> </w:t>
      </w:r>
      <w:r w:rsidR="003C0656" w:rsidRPr="00F40FBE">
        <w:rPr>
          <w:lang w:val="fr-FR"/>
        </w:rPr>
        <w:t>reste</w:t>
      </w:r>
      <w:r w:rsidR="0049533C" w:rsidRPr="00F40FBE">
        <w:rPr>
          <w:lang w:val="fr-FR"/>
        </w:rPr>
        <w:t xml:space="preserve"> le même</w:t>
      </w:r>
      <w:r w:rsidR="00234EC8" w:rsidRPr="00F40FBE">
        <w:rPr>
          <w:lang w:val="fr-FR"/>
        </w:rPr>
        <w:t xml:space="preserve">. La </w:t>
      </w:r>
      <w:r w:rsidRPr="00F40FBE">
        <w:rPr>
          <w:lang w:val="fr-FR"/>
        </w:rPr>
        <w:t>loi</w:t>
      </w:r>
      <w:r w:rsidR="00234EC8" w:rsidRPr="00F40FBE">
        <w:rPr>
          <w:lang w:val="fr-FR"/>
        </w:rPr>
        <w:t xml:space="preserve"> de la faillite v</w:t>
      </w:r>
      <w:r w:rsidR="00E23AB5" w:rsidRPr="00F40FBE">
        <w:rPr>
          <w:lang w:val="fr-FR"/>
        </w:rPr>
        <w:t>eut</w:t>
      </w:r>
      <w:r w:rsidR="00234EC8" w:rsidRPr="00F40FBE">
        <w:rPr>
          <w:lang w:val="fr-FR"/>
        </w:rPr>
        <w:t xml:space="preserve"> garantir la satisfaction proportionnelle et à égalité de conditions des droits des créanciers.</w:t>
      </w:r>
    </w:p>
    <w:p w:rsidR="0049533C" w:rsidRPr="00F40FBE" w:rsidRDefault="0049533C"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29</w:t>
      </w:r>
      <w:r w:rsidRPr="00F40FBE">
        <w:rPr>
          <w:lang w:val="fr-FR"/>
        </w:rPr>
        <w:fldChar w:fldCharType="end"/>
      </w:r>
      <w:r w:rsidRPr="00F40FBE">
        <w:rPr>
          <w:lang w:val="fr-FR"/>
        </w:rPr>
        <w:t xml:space="preserve">.  Ce </w:t>
      </w:r>
      <w:r w:rsidR="00B44856" w:rsidRPr="00F40FBE">
        <w:rPr>
          <w:lang w:val="fr-FR"/>
        </w:rPr>
        <w:t>principe</w:t>
      </w:r>
      <w:r w:rsidRPr="00F40FBE">
        <w:rPr>
          <w:lang w:val="fr-FR"/>
        </w:rPr>
        <w:t xml:space="preserve"> implique </w:t>
      </w:r>
      <w:r w:rsidR="00CA1E8F" w:rsidRPr="00F40FBE">
        <w:rPr>
          <w:lang w:val="fr-FR"/>
        </w:rPr>
        <w:t xml:space="preserve">ainsi </w:t>
      </w:r>
      <w:r w:rsidR="0060453A" w:rsidRPr="00F40FBE">
        <w:rPr>
          <w:lang w:val="fr-FR"/>
        </w:rPr>
        <w:t>que le commissaire</w:t>
      </w:r>
      <w:r w:rsidRPr="00F40FBE">
        <w:rPr>
          <w:lang w:val="fr-FR"/>
        </w:rPr>
        <w:t xml:space="preserve">, bien que nommé par </w:t>
      </w:r>
      <w:r w:rsidR="00E23AB5" w:rsidRPr="00F40FBE">
        <w:rPr>
          <w:lang w:val="fr-FR"/>
        </w:rPr>
        <w:t xml:space="preserve">une </w:t>
      </w:r>
      <w:r w:rsidR="00E513F4" w:rsidRPr="00F40FBE">
        <w:rPr>
          <w:lang w:val="fr-FR"/>
        </w:rPr>
        <w:t>a</w:t>
      </w:r>
      <w:r w:rsidR="00E23AB5" w:rsidRPr="00F40FBE">
        <w:rPr>
          <w:lang w:val="fr-FR"/>
        </w:rPr>
        <w:t>utorité administrative</w:t>
      </w:r>
      <w:r w:rsidRPr="00F40FBE">
        <w:rPr>
          <w:lang w:val="fr-FR"/>
        </w:rPr>
        <w:t xml:space="preserve">, </w:t>
      </w:r>
      <w:r w:rsidR="00E513F4" w:rsidRPr="00F40FBE">
        <w:rPr>
          <w:lang w:val="fr-FR"/>
        </w:rPr>
        <w:t>n</w:t>
      </w:r>
      <w:r w:rsidR="00F40FBE" w:rsidRPr="00F40FBE">
        <w:rPr>
          <w:lang w:val="fr-FR"/>
        </w:rPr>
        <w:t>’</w:t>
      </w:r>
      <w:r w:rsidR="00616B3E" w:rsidRPr="00F40FBE">
        <w:rPr>
          <w:lang w:val="fr-FR"/>
        </w:rPr>
        <w:t>agi</w:t>
      </w:r>
      <w:r w:rsidR="00E513F4" w:rsidRPr="00F40FBE">
        <w:rPr>
          <w:lang w:val="fr-FR"/>
        </w:rPr>
        <w:t>t</w:t>
      </w:r>
      <w:r w:rsidR="00E23AB5" w:rsidRPr="00F40FBE">
        <w:rPr>
          <w:lang w:val="fr-FR"/>
        </w:rPr>
        <w:t xml:space="preserve"> pas</w:t>
      </w:r>
      <w:r w:rsidR="00616B3E" w:rsidRPr="00F40FBE">
        <w:rPr>
          <w:lang w:val="fr-FR"/>
        </w:rPr>
        <w:t xml:space="preserve"> </w:t>
      </w:r>
      <w:r w:rsidR="002F490C" w:rsidRPr="00F40FBE">
        <w:rPr>
          <w:lang w:val="fr-FR"/>
        </w:rPr>
        <w:t>dans le but de</w:t>
      </w:r>
      <w:r w:rsidR="00616B3E" w:rsidRPr="00F40FBE">
        <w:rPr>
          <w:lang w:val="fr-FR"/>
        </w:rPr>
        <w:t xml:space="preserve"> faire prévaloir les intérêts de l</w:t>
      </w:r>
      <w:r w:rsidR="00F40FBE" w:rsidRPr="00F40FBE">
        <w:rPr>
          <w:lang w:val="fr-FR"/>
        </w:rPr>
        <w:t>’</w:t>
      </w:r>
      <w:r w:rsidR="00616B3E" w:rsidRPr="00F40FBE">
        <w:rPr>
          <w:lang w:val="fr-FR"/>
        </w:rPr>
        <w:t xml:space="preserve">acteur public impliqué dans la procédure et encore moins pour privilégier un créancier au détriment des autres. </w:t>
      </w:r>
      <w:r w:rsidR="00D53055" w:rsidRPr="00F40FBE">
        <w:rPr>
          <w:lang w:val="fr-FR"/>
        </w:rPr>
        <w:t xml:space="preserve">Le commissaire </w:t>
      </w:r>
      <w:r w:rsidRPr="00F40FBE">
        <w:rPr>
          <w:lang w:val="fr-FR"/>
        </w:rPr>
        <w:t xml:space="preserve">doit </w:t>
      </w:r>
      <w:r w:rsidR="00616B3E" w:rsidRPr="00F40FBE">
        <w:rPr>
          <w:lang w:val="fr-FR"/>
        </w:rPr>
        <w:t xml:space="preserve">au contraire </w:t>
      </w:r>
      <w:r w:rsidRPr="00F40FBE">
        <w:rPr>
          <w:lang w:val="fr-FR"/>
        </w:rPr>
        <w:t>agir de manière neutre et impartiale afin de protéger les intérêts de</w:t>
      </w:r>
      <w:r w:rsidR="00A1169F" w:rsidRPr="00F40FBE">
        <w:rPr>
          <w:lang w:val="fr-FR"/>
        </w:rPr>
        <w:t xml:space="preserve"> l</w:t>
      </w:r>
      <w:r w:rsidR="00F40FBE" w:rsidRPr="00F40FBE">
        <w:rPr>
          <w:lang w:val="fr-FR"/>
        </w:rPr>
        <w:t>’</w:t>
      </w:r>
      <w:r w:rsidR="00A1169F" w:rsidRPr="00F40FBE">
        <w:rPr>
          <w:lang w:val="fr-FR"/>
        </w:rPr>
        <w:t>ensemble de</w:t>
      </w:r>
      <w:r w:rsidRPr="00F40FBE">
        <w:rPr>
          <w:lang w:val="fr-FR"/>
        </w:rPr>
        <w:t>s créanciers.</w:t>
      </w:r>
    </w:p>
    <w:p w:rsidR="00F03C8D" w:rsidRPr="00F40FBE" w:rsidRDefault="0049533C"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30</w:t>
      </w:r>
      <w:r w:rsidRPr="00F40FBE">
        <w:rPr>
          <w:lang w:val="fr-FR"/>
        </w:rPr>
        <w:fldChar w:fldCharType="end"/>
      </w:r>
      <w:r w:rsidRPr="00F40FBE">
        <w:rPr>
          <w:lang w:val="fr-FR"/>
        </w:rPr>
        <w:t>.  </w:t>
      </w:r>
      <w:r w:rsidR="00BB0125" w:rsidRPr="00F40FBE">
        <w:rPr>
          <w:lang w:val="fr-FR"/>
        </w:rPr>
        <w:t>Dès lors</w:t>
      </w:r>
      <w:r w:rsidR="007E6FDD" w:rsidRPr="00F40FBE">
        <w:rPr>
          <w:lang w:val="fr-FR"/>
        </w:rPr>
        <w:t xml:space="preserve">, </w:t>
      </w:r>
      <w:r w:rsidR="00E4690D" w:rsidRPr="00F40FBE">
        <w:rPr>
          <w:lang w:val="fr-FR"/>
        </w:rPr>
        <w:t>indépendamment</w:t>
      </w:r>
      <w:r w:rsidR="007E6FDD" w:rsidRPr="00F40FBE">
        <w:rPr>
          <w:lang w:val="fr-FR"/>
        </w:rPr>
        <w:t xml:space="preserve"> de la </w:t>
      </w:r>
      <w:r w:rsidR="00BB0125" w:rsidRPr="00F40FBE">
        <w:rPr>
          <w:lang w:val="fr-FR"/>
        </w:rPr>
        <w:t xml:space="preserve">qualification </w:t>
      </w:r>
      <w:r w:rsidR="00892DCA" w:rsidRPr="00F40FBE">
        <w:rPr>
          <w:lang w:val="fr-FR"/>
        </w:rPr>
        <w:t>donnée au niveau interne à</w:t>
      </w:r>
      <w:r w:rsidR="00360A53" w:rsidRPr="00F40FBE">
        <w:rPr>
          <w:lang w:val="fr-FR"/>
        </w:rPr>
        <w:t xml:space="preserve"> la</w:t>
      </w:r>
      <w:r w:rsidR="00892DCA" w:rsidRPr="00F40FBE">
        <w:rPr>
          <w:lang w:val="fr-FR"/>
        </w:rPr>
        <w:t xml:space="preserve"> </w:t>
      </w:r>
      <w:r w:rsidR="003D5F1D" w:rsidRPr="00F40FBE">
        <w:rPr>
          <w:lang w:val="fr-FR"/>
        </w:rPr>
        <w:t>procédure litigieuse</w:t>
      </w:r>
      <w:r w:rsidR="00BB0125" w:rsidRPr="00F40FBE">
        <w:rPr>
          <w:lang w:val="fr-FR"/>
        </w:rPr>
        <w:t xml:space="preserve">, ce qui </w:t>
      </w:r>
      <w:r w:rsidR="00D53055" w:rsidRPr="00F40FBE">
        <w:rPr>
          <w:lang w:val="fr-FR"/>
        </w:rPr>
        <w:t xml:space="preserve">importe </w:t>
      </w:r>
      <w:r w:rsidR="00BB0125" w:rsidRPr="00F40FBE">
        <w:rPr>
          <w:lang w:val="fr-FR"/>
        </w:rPr>
        <w:t>aux yeux de la Cour est de déterminer s</w:t>
      </w:r>
      <w:r w:rsidR="00616B3E" w:rsidRPr="00F40FBE">
        <w:rPr>
          <w:lang w:val="fr-FR"/>
        </w:rPr>
        <w:t>i</w:t>
      </w:r>
      <w:r w:rsidR="00351D9F" w:rsidRPr="00F40FBE">
        <w:rPr>
          <w:lang w:val="fr-FR"/>
        </w:rPr>
        <w:t>,</w:t>
      </w:r>
      <w:r w:rsidR="00616B3E" w:rsidRPr="00F40FBE">
        <w:rPr>
          <w:lang w:val="fr-FR"/>
        </w:rPr>
        <w:t xml:space="preserve"> </w:t>
      </w:r>
      <w:r w:rsidR="00B1718D" w:rsidRPr="00F40FBE">
        <w:rPr>
          <w:lang w:val="fr-FR"/>
        </w:rPr>
        <w:t>dans le cadre de l</w:t>
      </w:r>
      <w:r w:rsidR="00F40FBE" w:rsidRPr="00F40FBE">
        <w:rPr>
          <w:lang w:val="fr-FR"/>
        </w:rPr>
        <w:t>’</w:t>
      </w:r>
      <w:r w:rsidR="00F03C8D" w:rsidRPr="00F40FBE">
        <w:rPr>
          <w:lang w:val="fr-FR"/>
        </w:rPr>
        <w:t>activité menée</w:t>
      </w:r>
      <w:r w:rsidR="00A1169F" w:rsidRPr="00F40FBE">
        <w:rPr>
          <w:lang w:val="fr-FR"/>
        </w:rPr>
        <w:t xml:space="preserve"> par le </w:t>
      </w:r>
      <w:r w:rsidR="00351D9F" w:rsidRPr="00F40FBE">
        <w:rPr>
          <w:lang w:val="fr-FR"/>
        </w:rPr>
        <w:t>commissaire,</w:t>
      </w:r>
      <w:r w:rsidR="00A1169F" w:rsidRPr="00F40FBE">
        <w:rPr>
          <w:lang w:val="fr-FR"/>
        </w:rPr>
        <w:t xml:space="preserve"> il y a</w:t>
      </w:r>
      <w:r w:rsidR="00616B3E" w:rsidRPr="00F40FBE">
        <w:rPr>
          <w:lang w:val="fr-FR"/>
        </w:rPr>
        <w:t xml:space="preserve"> </w:t>
      </w:r>
      <w:r w:rsidR="00616B3E" w:rsidRPr="00F40FBE">
        <w:rPr>
          <w:lang w:val="fr-FR"/>
        </w:rPr>
        <w:lastRenderedPageBreak/>
        <w:t>une</w:t>
      </w:r>
      <w:r w:rsidR="00BB0125" w:rsidRPr="00F40FBE">
        <w:rPr>
          <w:lang w:val="fr-FR"/>
        </w:rPr>
        <w:t xml:space="preserve"> « contestation » sur un « droit » que l</w:t>
      </w:r>
      <w:r w:rsidR="00F40FBE" w:rsidRPr="00F40FBE">
        <w:rPr>
          <w:lang w:val="fr-FR"/>
        </w:rPr>
        <w:t>’</w:t>
      </w:r>
      <w:r w:rsidR="00BB0125" w:rsidRPr="00F40FBE">
        <w:rPr>
          <w:lang w:val="fr-FR"/>
        </w:rPr>
        <w:t>on peut prétendre, au moins de manière défendable, reconnu en droit interne</w:t>
      </w:r>
      <w:r w:rsidR="00ED1B22" w:rsidRPr="00F40FBE">
        <w:rPr>
          <w:lang w:val="fr-FR"/>
        </w:rPr>
        <w:t>.</w:t>
      </w:r>
    </w:p>
    <w:p w:rsidR="00927822" w:rsidRPr="00F40FBE" w:rsidRDefault="00F03C8D"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31</w:t>
      </w:r>
      <w:r w:rsidRPr="00F40FBE">
        <w:rPr>
          <w:lang w:val="fr-FR"/>
        </w:rPr>
        <w:fldChar w:fldCharType="end"/>
      </w:r>
      <w:r w:rsidRPr="00F40FBE">
        <w:rPr>
          <w:lang w:val="fr-FR"/>
        </w:rPr>
        <w:t>.  La Cour rappelle qu</w:t>
      </w:r>
      <w:r w:rsidR="00F40FBE" w:rsidRPr="00F40FBE">
        <w:rPr>
          <w:lang w:val="fr-FR"/>
        </w:rPr>
        <w:t>’</w:t>
      </w:r>
      <w:r w:rsidRPr="00F40FBE">
        <w:rPr>
          <w:lang w:val="fr-FR"/>
        </w:rPr>
        <w:t>i</w:t>
      </w:r>
      <w:r w:rsidR="00ED1B22" w:rsidRPr="00F40FBE">
        <w:rPr>
          <w:lang w:val="fr-FR"/>
        </w:rPr>
        <w:t>l doit s</w:t>
      </w:r>
      <w:r w:rsidR="00F40FBE" w:rsidRPr="00F40FBE">
        <w:rPr>
          <w:lang w:val="fr-FR"/>
        </w:rPr>
        <w:t>’</w:t>
      </w:r>
      <w:r w:rsidR="00ED1B22" w:rsidRPr="00F40FBE">
        <w:rPr>
          <w:lang w:val="fr-FR"/>
        </w:rPr>
        <w:t>agir d</w:t>
      </w:r>
      <w:r w:rsidR="00F40FBE" w:rsidRPr="00F40FBE">
        <w:rPr>
          <w:lang w:val="fr-FR"/>
        </w:rPr>
        <w:t>’</w:t>
      </w:r>
      <w:r w:rsidR="00ED1B22" w:rsidRPr="00F40FBE">
        <w:rPr>
          <w:lang w:val="fr-FR"/>
        </w:rPr>
        <w:t>une contestation réelle et sérieuse ; elle peut concerner aussi bien l</w:t>
      </w:r>
      <w:r w:rsidR="00F40FBE" w:rsidRPr="00F40FBE">
        <w:rPr>
          <w:lang w:val="fr-FR"/>
        </w:rPr>
        <w:t>’</w:t>
      </w:r>
      <w:r w:rsidR="00ED1B22" w:rsidRPr="00F40FBE">
        <w:rPr>
          <w:lang w:val="fr-FR"/>
        </w:rPr>
        <w:t>existence même d</w:t>
      </w:r>
      <w:r w:rsidR="00F40FBE" w:rsidRPr="00F40FBE">
        <w:rPr>
          <w:lang w:val="fr-FR"/>
        </w:rPr>
        <w:t>’</w:t>
      </w:r>
      <w:r w:rsidR="00ED1B22" w:rsidRPr="00F40FBE">
        <w:rPr>
          <w:lang w:val="fr-FR"/>
        </w:rPr>
        <w:t xml:space="preserve">un droit que son étendue ou ses modalités </w:t>
      </w:r>
      <w:r w:rsidR="00892DCA" w:rsidRPr="00F40FBE">
        <w:rPr>
          <w:lang w:val="fr-FR"/>
        </w:rPr>
        <w:t>(</w:t>
      </w:r>
      <w:r w:rsidR="005869E5" w:rsidRPr="00F40FBE">
        <w:rPr>
          <w:i/>
          <w:lang w:val="fr-FR"/>
        </w:rPr>
        <w:t>Paroisse Gréco-Catholique Lupeni et autres c.</w:t>
      </w:r>
      <w:r w:rsidR="00920445" w:rsidRPr="00F40FBE">
        <w:rPr>
          <w:i/>
          <w:lang w:val="fr-FR"/>
        </w:rPr>
        <w:t> </w:t>
      </w:r>
      <w:r w:rsidR="005869E5" w:rsidRPr="00F40FBE">
        <w:rPr>
          <w:i/>
          <w:lang w:val="fr-FR"/>
        </w:rPr>
        <w:t xml:space="preserve">Roumanie </w:t>
      </w:r>
      <w:r w:rsidR="005869E5" w:rsidRPr="00F40FBE">
        <w:rPr>
          <w:lang w:val="fr-FR"/>
        </w:rPr>
        <w:t>[GC], n</w:t>
      </w:r>
      <w:r w:rsidR="005869E5" w:rsidRPr="00F40FBE">
        <w:rPr>
          <w:vertAlign w:val="superscript"/>
          <w:lang w:val="fr-FR"/>
        </w:rPr>
        <w:t>o</w:t>
      </w:r>
      <w:r w:rsidR="005869E5" w:rsidRPr="00F40FBE">
        <w:rPr>
          <w:lang w:val="fr-FR"/>
        </w:rPr>
        <w:t xml:space="preserve"> 76943/11, § </w:t>
      </w:r>
      <w:r w:rsidR="00B27408" w:rsidRPr="00F40FBE">
        <w:rPr>
          <w:lang w:val="fr-FR"/>
        </w:rPr>
        <w:t>71</w:t>
      </w:r>
      <w:r w:rsidR="005869E5" w:rsidRPr="00F40FBE">
        <w:rPr>
          <w:lang w:val="fr-FR"/>
        </w:rPr>
        <w:t>, CEDH 2016 (extraits)</w:t>
      </w:r>
      <w:r w:rsidR="00892DCA" w:rsidRPr="00F40FBE">
        <w:rPr>
          <w:lang w:val="fr-FR"/>
        </w:rPr>
        <w:t>).</w:t>
      </w:r>
      <w:r w:rsidR="00B27408" w:rsidRPr="00F40FBE">
        <w:rPr>
          <w:lang w:val="fr-FR"/>
        </w:rPr>
        <w:t xml:space="preserve"> U</w:t>
      </w:r>
      <w:r w:rsidR="00BB0125" w:rsidRPr="00F40FBE">
        <w:rPr>
          <w:lang w:val="fr-FR"/>
        </w:rPr>
        <w:t>ne contestation implique l</w:t>
      </w:r>
      <w:r w:rsidR="00F40FBE" w:rsidRPr="00F40FBE">
        <w:rPr>
          <w:lang w:val="fr-FR"/>
        </w:rPr>
        <w:t>’</w:t>
      </w:r>
      <w:r w:rsidR="00BB0125" w:rsidRPr="00F40FBE">
        <w:rPr>
          <w:lang w:val="fr-FR"/>
        </w:rPr>
        <w:t>existence d</w:t>
      </w:r>
      <w:r w:rsidR="00F40FBE" w:rsidRPr="00F40FBE">
        <w:rPr>
          <w:lang w:val="fr-FR"/>
        </w:rPr>
        <w:t>’</w:t>
      </w:r>
      <w:r w:rsidR="00BB0125" w:rsidRPr="00F40FBE">
        <w:rPr>
          <w:lang w:val="fr-FR"/>
        </w:rPr>
        <w:t>un différend (</w:t>
      </w:r>
      <w:r w:rsidR="00BB0125" w:rsidRPr="00F40FBE">
        <w:rPr>
          <w:i/>
          <w:lang w:val="fr-FR"/>
        </w:rPr>
        <w:t>Le Compte, Van Leuven et De Meyere c. Belgique</w:t>
      </w:r>
      <w:r w:rsidR="00BB0125" w:rsidRPr="00F40FBE">
        <w:rPr>
          <w:lang w:val="fr-FR"/>
        </w:rPr>
        <w:t>, 23 juin 1981, § 45, série A n</w:t>
      </w:r>
      <w:r w:rsidR="00927822" w:rsidRPr="00F40FBE">
        <w:rPr>
          <w:vertAlign w:val="superscript"/>
          <w:lang w:val="fr-FR"/>
        </w:rPr>
        <w:t>o</w:t>
      </w:r>
      <w:r w:rsidR="00BB0125" w:rsidRPr="00F40FBE">
        <w:rPr>
          <w:lang w:val="fr-FR"/>
        </w:rPr>
        <w:t xml:space="preserve"> 43)</w:t>
      </w:r>
      <w:r w:rsidR="00B27408" w:rsidRPr="00F40FBE">
        <w:rPr>
          <w:lang w:val="fr-FR"/>
        </w:rPr>
        <w:t xml:space="preserve"> et</w:t>
      </w:r>
      <w:r w:rsidR="00BB0125" w:rsidRPr="00F40FBE">
        <w:rPr>
          <w:lang w:val="fr-FR"/>
        </w:rPr>
        <w:t xml:space="preserve"> l</w:t>
      </w:r>
      <w:r w:rsidR="00F40FBE" w:rsidRPr="00F40FBE">
        <w:rPr>
          <w:lang w:val="fr-FR"/>
        </w:rPr>
        <w:t>’</w:t>
      </w:r>
      <w:r w:rsidR="00BB0125" w:rsidRPr="00F40FBE">
        <w:rPr>
          <w:lang w:val="fr-FR"/>
        </w:rPr>
        <w:t>issue de la procédure doit être directement déterminante pour le «</w:t>
      </w:r>
      <w:r w:rsidR="00B27408" w:rsidRPr="00F40FBE">
        <w:rPr>
          <w:lang w:val="fr-FR"/>
        </w:rPr>
        <w:t> </w:t>
      </w:r>
      <w:r w:rsidR="00BB0125" w:rsidRPr="00F40FBE">
        <w:rPr>
          <w:lang w:val="fr-FR"/>
        </w:rPr>
        <w:t>droit de caractère civil en question » (voir, parmi d</w:t>
      </w:r>
      <w:r w:rsidR="00F40FBE" w:rsidRPr="00F40FBE">
        <w:rPr>
          <w:lang w:val="fr-FR"/>
        </w:rPr>
        <w:t>’</w:t>
      </w:r>
      <w:r w:rsidR="00BB0125" w:rsidRPr="00F40FBE">
        <w:rPr>
          <w:lang w:val="fr-FR"/>
        </w:rPr>
        <w:t>autre</w:t>
      </w:r>
      <w:r w:rsidR="00892DCA" w:rsidRPr="00F40FBE">
        <w:rPr>
          <w:lang w:val="fr-FR"/>
        </w:rPr>
        <w:t xml:space="preserve">s, </w:t>
      </w:r>
      <w:r w:rsidR="00892DCA" w:rsidRPr="00F40FBE">
        <w:rPr>
          <w:i/>
          <w:lang w:val="fr-FR"/>
        </w:rPr>
        <w:t>Frydlender c.</w:t>
      </w:r>
      <w:r w:rsidR="00B27408" w:rsidRPr="00F40FBE">
        <w:rPr>
          <w:i/>
          <w:lang w:val="fr-FR"/>
        </w:rPr>
        <w:t> </w:t>
      </w:r>
      <w:r w:rsidR="00892DCA" w:rsidRPr="00F40FBE">
        <w:rPr>
          <w:i/>
          <w:lang w:val="fr-FR"/>
        </w:rPr>
        <w:t xml:space="preserve">France </w:t>
      </w:r>
      <w:r w:rsidR="00892DCA" w:rsidRPr="00F40FBE">
        <w:rPr>
          <w:lang w:val="fr-FR"/>
        </w:rPr>
        <w:t>[GC], n</w:t>
      </w:r>
      <w:r w:rsidR="00927822" w:rsidRPr="00F40FBE">
        <w:rPr>
          <w:vertAlign w:val="superscript"/>
          <w:lang w:val="fr-FR"/>
        </w:rPr>
        <w:t>o</w:t>
      </w:r>
      <w:r w:rsidR="00920445" w:rsidRPr="00F40FBE">
        <w:rPr>
          <w:vertAlign w:val="superscript"/>
          <w:lang w:val="fr-FR"/>
        </w:rPr>
        <w:t> </w:t>
      </w:r>
      <w:r w:rsidR="00BB0125" w:rsidRPr="00F40FBE">
        <w:rPr>
          <w:lang w:val="fr-FR"/>
        </w:rPr>
        <w:t>30979/96, § 27, CEDH 2000</w:t>
      </w:r>
      <w:r w:rsidR="00BB0125" w:rsidRPr="00F40FBE">
        <w:rPr>
          <w:lang w:val="fr-FR"/>
        </w:rPr>
        <w:noBreakHyphen/>
        <w:t xml:space="preserve">VII, et </w:t>
      </w:r>
      <w:r w:rsidR="00BB0125" w:rsidRPr="00F40FBE">
        <w:rPr>
          <w:i/>
          <w:lang w:val="fr-FR"/>
        </w:rPr>
        <w:t>Sporrong et Lönnroth c. Suède</w:t>
      </w:r>
      <w:r w:rsidR="00BB0125" w:rsidRPr="00F40FBE">
        <w:rPr>
          <w:lang w:val="fr-FR"/>
        </w:rPr>
        <w:t>, 23</w:t>
      </w:r>
      <w:r w:rsidR="00920445" w:rsidRPr="00F40FBE">
        <w:rPr>
          <w:lang w:val="fr-FR"/>
        </w:rPr>
        <w:t> </w:t>
      </w:r>
      <w:r w:rsidR="00BB0125" w:rsidRPr="00F40FBE">
        <w:rPr>
          <w:lang w:val="fr-FR"/>
        </w:rPr>
        <w:t>septembre 1982, § 81, série A n</w:t>
      </w:r>
      <w:r w:rsidR="00927822" w:rsidRPr="00F40FBE">
        <w:rPr>
          <w:vertAlign w:val="superscript"/>
          <w:lang w:val="fr-FR"/>
        </w:rPr>
        <w:t>o</w:t>
      </w:r>
      <w:r w:rsidR="00BB0125" w:rsidRPr="00F40FBE">
        <w:rPr>
          <w:lang w:val="fr-FR"/>
        </w:rPr>
        <w:t xml:space="preserve"> 52).</w:t>
      </w:r>
    </w:p>
    <w:p w:rsidR="00A86B69" w:rsidRPr="00F40FBE" w:rsidRDefault="003B3116"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32</w:t>
      </w:r>
      <w:r w:rsidRPr="00F40FBE">
        <w:rPr>
          <w:lang w:val="fr-FR"/>
        </w:rPr>
        <w:fldChar w:fldCharType="end"/>
      </w:r>
      <w:r w:rsidRPr="00F40FBE">
        <w:rPr>
          <w:lang w:val="fr-FR"/>
        </w:rPr>
        <w:t>.  </w:t>
      </w:r>
      <w:r w:rsidR="00B26914" w:rsidRPr="00F40FBE">
        <w:rPr>
          <w:lang w:val="fr-FR"/>
        </w:rPr>
        <w:t>L</w:t>
      </w:r>
      <w:r w:rsidR="00F40FBE" w:rsidRPr="00F40FBE">
        <w:rPr>
          <w:lang w:val="fr-FR"/>
        </w:rPr>
        <w:t>’</w:t>
      </w:r>
      <w:r w:rsidR="00A86B69" w:rsidRPr="00F40FBE">
        <w:rPr>
          <w:lang w:val="fr-FR"/>
        </w:rPr>
        <w:t>esprit de la Convention commande de ne pas prendre le terme « contestation » dans une acception trop technique, au sens de deux prétentions ou demandes contradictoires, et d</w:t>
      </w:r>
      <w:r w:rsidR="00F40FBE" w:rsidRPr="00F40FBE">
        <w:rPr>
          <w:lang w:val="fr-FR"/>
        </w:rPr>
        <w:t>’</w:t>
      </w:r>
      <w:r w:rsidR="00A86B69" w:rsidRPr="00F40FBE">
        <w:rPr>
          <w:lang w:val="fr-FR"/>
        </w:rPr>
        <w:t>en donner une définition matérielle plutôt que formelle (</w:t>
      </w:r>
      <w:r w:rsidR="00A86B69" w:rsidRPr="00F40FBE">
        <w:rPr>
          <w:i/>
          <w:lang w:val="fr-FR"/>
        </w:rPr>
        <w:t>Le Com</w:t>
      </w:r>
      <w:r w:rsidR="00675EC7" w:rsidRPr="00F40FBE">
        <w:rPr>
          <w:i/>
          <w:lang w:val="fr-FR"/>
        </w:rPr>
        <w:t>pte, Van Leuven et De Meyere</w:t>
      </w:r>
      <w:r w:rsidR="00A86B69" w:rsidRPr="00F40FBE">
        <w:rPr>
          <w:lang w:val="fr-FR"/>
        </w:rPr>
        <w:t xml:space="preserve">, </w:t>
      </w:r>
      <w:r w:rsidR="002F490C" w:rsidRPr="00F40FBE">
        <w:rPr>
          <w:lang w:val="fr-FR"/>
        </w:rPr>
        <w:t>précité</w:t>
      </w:r>
      <w:r w:rsidR="00A86B69" w:rsidRPr="00F40FBE">
        <w:rPr>
          <w:lang w:val="fr-FR"/>
        </w:rPr>
        <w:t>, § 45). De surcroît, pour apprécier l</w:t>
      </w:r>
      <w:r w:rsidR="00F40FBE" w:rsidRPr="00F40FBE">
        <w:rPr>
          <w:lang w:val="fr-FR"/>
        </w:rPr>
        <w:t>’</w:t>
      </w:r>
      <w:r w:rsidR="00A86B69" w:rsidRPr="00F40FBE">
        <w:rPr>
          <w:lang w:val="fr-FR"/>
        </w:rPr>
        <w:t>existence d</w:t>
      </w:r>
      <w:r w:rsidR="00F40FBE" w:rsidRPr="00F40FBE">
        <w:rPr>
          <w:lang w:val="fr-FR"/>
        </w:rPr>
        <w:t>’</w:t>
      </w:r>
      <w:r w:rsidR="00A86B69" w:rsidRPr="00F40FBE">
        <w:rPr>
          <w:lang w:val="fr-FR"/>
        </w:rPr>
        <w:t>une contestation sur un droit de caractère civil, il faut, par-delà les apparences et le vocabulaire employé, s</w:t>
      </w:r>
      <w:r w:rsidR="00F40FBE" w:rsidRPr="00F40FBE">
        <w:rPr>
          <w:lang w:val="fr-FR"/>
        </w:rPr>
        <w:t>’</w:t>
      </w:r>
      <w:r w:rsidR="00A86B69" w:rsidRPr="00F40FBE">
        <w:rPr>
          <w:lang w:val="fr-FR"/>
        </w:rPr>
        <w:t>attacher à cerner la réalité telle qu</w:t>
      </w:r>
      <w:r w:rsidR="00F40FBE" w:rsidRPr="00F40FBE">
        <w:rPr>
          <w:lang w:val="fr-FR"/>
        </w:rPr>
        <w:t>’</w:t>
      </w:r>
      <w:r w:rsidR="00A86B69" w:rsidRPr="00F40FBE">
        <w:rPr>
          <w:lang w:val="fr-FR"/>
        </w:rPr>
        <w:t>elle ressort des circonstances de chaque affaire (</w:t>
      </w:r>
      <w:r w:rsidR="00527FF8" w:rsidRPr="00F40FBE">
        <w:rPr>
          <w:i/>
          <w:lang w:val="fr-FR"/>
        </w:rPr>
        <w:t>Miessen c. Belgique</w:t>
      </w:r>
      <w:r w:rsidR="00527FF8" w:rsidRPr="00F40FBE">
        <w:rPr>
          <w:lang w:val="fr-FR"/>
        </w:rPr>
        <w:t>, n</w:t>
      </w:r>
      <w:r w:rsidR="00527FF8" w:rsidRPr="00F40FBE">
        <w:rPr>
          <w:vertAlign w:val="superscript"/>
          <w:lang w:val="fr-FR"/>
        </w:rPr>
        <w:t>o</w:t>
      </w:r>
      <w:r w:rsidR="007476D7" w:rsidRPr="00F40FBE">
        <w:rPr>
          <w:lang w:val="fr-FR"/>
        </w:rPr>
        <w:t> </w:t>
      </w:r>
      <w:r w:rsidR="00527FF8" w:rsidRPr="00F40FBE">
        <w:rPr>
          <w:lang w:val="fr-FR"/>
        </w:rPr>
        <w:t xml:space="preserve">31517/12, § </w:t>
      </w:r>
      <w:r w:rsidR="0005697C" w:rsidRPr="00F40FBE">
        <w:rPr>
          <w:lang w:val="fr-FR"/>
        </w:rPr>
        <w:t>45</w:t>
      </w:r>
      <w:r w:rsidR="00527FF8" w:rsidRPr="00F40FBE">
        <w:rPr>
          <w:lang w:val="fr-FR"/>
        </w:rPr>
        <w:t>, 18 octobre 2016).</w:t>
      </w:r>
    </w:p>
    <w:p w:rsidR="00CA1E8F" w:rsidRPr="00F40FBE" w:rsidRDefault="003B3116" w:rsidP="00F40FBE">
      <w:pPr>
        <w:pStyle w:val="ECHRPara"/>
        <w:rPr>
          <w:lang w:val="fr-FR"/>
        </w:rPr>
      </w:pPr>
      <w:r w:rsidRPr="00F40FBE">
        <w:rPr>
          <w:rFonts w:ascii="Times New Roman" w:hAnsi="Times New Roman" w:cs="Times New Roman"/>
          <w:szCs w:val="24"/>
          <w:lang w:val="fr-FR"/>
        </w:rPr>
        <w:fldChar w:fldCharType="begin"/>
      </w:r>
      <w:r w:rsidRPr="00F40FBE">
        <w:rPr>
          <w:rFonts w:ascii="Times New Roman" w:hAnsi="Times New Roman" w:cs="Times New Roman"/>
          <w:szCs w:val="24"/>
          <w:lang w:val="fr-FR"/>
        </w:rPr>
        <w:instrText xml:space="preserve"> SEQ level0 \*arabic </w:instrText>
      </w:r>
      <w:r w:rsidRPr="00F40FBE">
        <w:rPr>
          <w:rFonts w:ascii="Times New Roman" w:hAnsi="Times New Roman" w:cs="Times New Roman"/>
          <w:szCs w:val="24"/>
          <w:lang w:val="fr-FR"/>
        </w:rPr>
        <w:fldChar w:fldCharType="separate"/>
      </w:r>
      <w:r w:rsidR="00F40FBE" w:rsidRPr="00F40FBE">
        <w:rPr>
          <w:rFonts w:ascii="Times New Roman" w:hAnsi="Times New Roman" w:cs="Times New Roman"/>
          <w:noProof/>
          <w:szCs w:val="24"/>
          <w:lang w:val="fr-FR"/>
        </w:rPr>
        <w:t>33</w:t>
      </w:r>
      <w:r w:rsidRPr="00F40FBE">
        <w:rPr>
          <w:rFonts w:ascii="Times New Roman" w:hAnsi="Times New Roman" w:cs="Times New Roman"/>
          <w:szCs w:val="24"/>
          <w:lang w:val="fr-FR"/>
        </w:rPr>
        <w:fldChar w:fldCharType="end"/>
      </w:r>
      <w:r w:rsidRPr="00F40FBE">
        <w:rPr>
          <w:rFonts w:ascii="Times New Roman" w:hAnsi="Times New Roman" w:cs="Times New Roman"/>
          <w:szCs w:val="24"/>
          <w:lang w:val="fr-FR"/>
        </w:rPr>
        <w:t>.  </w:t>
      </w:r>
      <w:r w:rsidR="00F03C8D" w:rsidRPr="00F40FBE">
        <w:rPr>
          <w:rFonts w:ascii="Times New Roman" w:hAnsi="Times New Roman" w:cs="Times New Roman"/>
          <w:szCs w:val="24"/>
          <w:lang w:val="fr-FR"/>
        </w:rPr>
        <w:t>En l</w:t>
      </w:r>
      <w:r w:rsidR="00F40FBE" w:rsidRPr="00F40FBE">
        <w:rPr>
          <w:rFonts w:ascii="Times New Roman" w:hAnsi="Times New Roman" w:cs="Times New Roman"/>
          <w:szCs w:val="24"/>
          <w:lang w:val="fr-FR"/>
        </w:rPr>
        <w:t>’</w:t>
      </w:r>
      <w:r w:rsidR="00F03C8D" w:rsidRPr="00F40FBE">
        <w:rPr>
          <w:rFonts w:ascii="Times New Roman" w:hAnsi="Times New Roman" w:cs="Times New Roman"/>
          <w:szCs w:val="24"/>
          <w:lang w:val="fr-FR"/>
        </w:rPr>
        <w:t>espèce</w:t>
      </w:r>
      <w:r w:rsidR="00527FF8" w:rsidRPr="00F40FBE">
        <w:rPr>
          <w:rFonts w:ascii="Times New Roman" w:hAnsi="Times New Roman" w:cs="Times New Roman"/>
          <w:szCs w:val="24"/>
          <w:lang w:val="fr-FR"/>
        </w:rPr>
        <w:t xml:space="preserve">, la Cour relève </w:t>
      </w:r>
      <w:r w:rsidR="00476986" w:rsidRPr="00F40FBE">
        <w:rPr>
          <w:rFonts w:ascii="Times New Roman" w:hAnsi="Times New Roman" w:cs="Times New Roman"/>
          <w:szCs w:val="24"/>
          <w:lang w:val="fr-FR"/>
        </w:rPr>
        <w:t>qu</w:t>
      </w:r>
      <w:r w:rsidR="003F2B36" w:rsidRPr="00F40FBE">
        <w:rPr>
          <w:rFonts w:ascii="Times New Roman" w:hAnsi="Times New Roman" w:cs="Times New Roman"/>
          <w:szCs w:val="24"/>
          <w:lang w:val="fr-FR"/>
        </w:rPr>
        <w:t xml:space="preserve">e, </w:t>
      </w:r>
      <w:r w:rsidR="00CA1E8F" w:rsidRPr="00F40FBE">
        <w:rPr>
          <w:rFonts w:ascii="Times New Roman" w:hAnsi="Times New Roman" w:cs="Times New Roman"/>
          <w:szCs w:val="24"/>
          <w:lang w:val="fr-FR"/>
        </w:rPr>
        <w:t>au-delà de la différente nature attribuée</w:t>
      </w:r>
      <w:r w:rsidR="00A47501" w:rsidRPr="00F40FBE">
        <w:rPr>
          <w:rFonts w:ascii="Times New Roman" w:hAnsi="Times New Roman" w:cs="Times New Roman"/>
          <w:szCs w:val="24"/>
          <w:lang w:val="fr-FR"/>
        </w:rPr>
        <w:t xml:space="preserve"> au niveau interne</w:t>
      </w:r>
      <w:r w:rsidR="00CA1E8F" w:rsidRPr="00F40FBE">
        <w:rPr>
          <w:rFonts w:ascii="Times New Roman" w:hAnsi="Times New Roman" w:cs="Times New Roman"/>
          <w:szCs w:val="24"/>
          <w:lang w:val="fr-FR"/>
        </w:rPr>
        <w:t xml:space="preserve"> à la procédure de faillite et à celle de l</w:t>
      </w:r>
      <w:r w:rsidR="002F490C" w:rsidRPr="00F40FBE">
        <w:rPr>
          <w:rFonts w:ascii="Times New Roman" w:hAnsi="Times New Roman" w:cs="Times New Roman"/>
          <w:szCs w:val="24"/>
          <w:lang w:val="fr-FR"/>
        </w:rPr>
        <w:t>iquidation administrative</w:t>
      </w:r>
      <w:r w:rsidR="00CA1E8F" w:rsidRPr="00F40FBE">
        <w:rPr>
          <w:rFonts w:ascii="Times New Roman" w:hAnsi="Times New Roman" w:cs="Times New Roman"/>
          <w:szCs w:val="24"/>
          <w:lang w:val="fr-FR"/>
        </w:rPr>
        <w:t xml:space="preserve">, dans les deux cas </w:t>
      </w:r>
      <w:r w:rsidRPr="00F40FBE">
        <w:rPr>
          <w:lang w:val="fr-FR"/>
        </w:rPr>
        <w:t>l</w:t>
      </w:r>
      <w:r w:rsidR="0045650B" w:rsidRPr="00F40FBE">
        <w:rPr>
          <w:lang w:val="fr-FR"/>
        </w:rPr>
        <w:t>e créancier</w:t>
      </w:r>
      <w:r w:rsidR="00B26914" w:rsidRPr="00F40FBE">
        <w:rPr>
          <w:lang w:val="fr-FR"/>
        </w:rPr>
        <w:t xml:space="preserve"> fonde </w:t>
      </w:r>
      <w:r w:rsidR="00351D9F" w:rsidRPr="00F40FBE">
        <w:rPr>
          <w:lang w:val="fr-FR"/>
        </w:rPr>
        <w:t>l</w:t>
      </w:r>
      <w:r w:rsidR="0045650B" w:rsidRPr="00F40FBE">
        <w:rPr>
          <w:lang w:val="fr-FR"/>
        </w:rPr>
        <w:t>a perspective de</w:t>
      </w:r>
      <w:r w:rsidR="00351D9F" w:rsidRPr="00F40FBE">
        <w:rPr>
          <w:lang w:val="fr-FR"/>
        </w:rPr>
        <w:t xml:space="preserve"> </w:t>
      </w:r>
      <w:r w:rsidR="0045650B" w:rsidRPr="00F40FBE">
        <w:rPr>
          <w:lang w:val="fr-FR"/>
        </w:rPr>
        <w:t>réalisation</w:t>
      </w:r>
      <w:r w:rsidR="00351D9F" w:rsidRPr="00F40FBE">
        <w:rPr>
          <w:lang w:val="fr-FR"/>
        </w:rPr>
        <w:t xml:space="preserve"> de </w:t>
      </w:r>
      <w:r w:rsidR="00B26914" w:rsidRPr="00F40FBE">
        <w:rPr>
          <w:lang w:val="fr-FR"/>
        </w:rPr>
        <w:t xml:space="preserve">son </w:t>
      </w:r>
      <w:r w:rsidR="0005697C" w:rsidRPr="00F40FBE">
        <w:rPr>
          <w:lang w:val="fr-FR"/>
        </w:rPr>
        <w:t xml:space="preserve">crédit </w:t>
      </w:r>
      <w:r w:rsidR="00B26914" w:rsidRPr="00F40FBE">
        <w:rPr>
          <w:lang w:val="fr-FR"/>
        </w:rPr>
        <w:t>sur l</w:t>
      </w:r>
      <w:r w:rsidR="00F40FBE" w:rsidRPr="00F40FBE">
        <w:rPr>
          <w:lang w:val="fr-FR"/>
        </w:rPr>
        <w:t>’</w:t>
      </w:r>
      <w:r w:rsidR="002725F6" w:rsidRPr="00F40FBE">
        <w:rPr>
          <w:lang w:val="fr-FR"/>
        </w:rPr>
        <w:t xml:space="preserve">activité </w:t>
      </w:r>
      <w:r w:rsidR="00351D9F" w:rsidRPr="00F40FBE">
        <w:rPr>
          <w:lang w:val="fr-FR"/>
        </w:rPr>
        <w:t>d</w:t>
      </w:r>
      <w:r w:rsidR="00F40FBE" w:rsidRPr="00F40FBE">
        <w:rPr>
          <w:lang w:val="fr-FR"/>
        </w:rPr>
        <w:t>’</w:t>
      </w:r>
      <w:r w:rsidR="00CA1E8F" w:rsidRPr="00F40FBE">
        <w:rPr>
          <w:lang w:val="fr-FR"/>
        </w:rPr>
        <w:t xml:space="preserve">un </w:t>
      </w:r>
      <w:r w:rsidR="00A1169F" w:rsidRPr="00F40FBE">
        <w:rPr>
          <w:lang w:val="fr-FR"/>
        </w:rPr>
        <w:t>sujet</w:t>
      </w:r>
      <w:r w:rsidR="00CA1E8F" w:rsidRPr="00F40FBE">
        <w:rPr>
          <w:lang w:val="fr-FR"/>
        </w:rPr>
        <w:t xml:space="preserve"> </w:t>
      </w:r>
      <w:r w:rsidR="001F2C5F" w:rsidRPr="00F40FBE">
        <w:rPr>
          <w:lang w:val="fr-FR"/>
        </w:rPr>
        <w:t>tiers</w:t>
      </w:r>
      <w:r w:rsidR="00CA1E8F" w:rsidRPr="00F40FBE">
        <w:rPr>
          <w:lang w:val="fr-FR"/>
        </w:rPr>
        <w:t xml:space="preserve"> qui </w:t>
      </w:r>
      <w:r w:rsidR="001F2C5F" w:rsidRPr="00F40FBE">
        <w:rPr>
          <w:lang w:val="fr-FR"/>
        </w:rPr>
        <w:t>vérifie</w:t>
      </w:r>
      <w:r w:rsidR="00CA1E8F" w:rsidRPr="00F40FBE">
        <w:rPr>
          <w:lang w:val="fr-FR"/>
        </w:rPr>
        <w:t xml:space="preserve"> l</w:t>
      </w:r>
      <w:r w:rsidR="00F40FBE" w:rsidRPr="00F40FBE">
        <w:rPr>
          <w:lang w:val="fr-FR"/>
        </w:rPr>
        <w:t>’</w:t>
      </w:r>
      <w:r w:rsidR="00CA1E8F" w:rsidRPr="00F40FBE">
        <w:rPr>
          <w:lang w:val="fr-FR"/>
        </w:rPr>
        <w:t>existence des créances et procède</w:t>
      </w:r>
      <w:r w:rsidR="001F2C5F" w:rsidRPr="00F40FBE">
        <w:rPr>
          <w:lang w:val="fr-FR"/>
        </w:rPr>
        <w:t xml:space="preserve"> ensuite</w:t>
      </w:r>
      <w:r w:rsidR="00CA1E8F" w:rsidRPr="00F40FBE">
        <w:rPr>
          <w:lang w:val="fr-FR"/>
        </w:rPr>
        <w:t xml:space="preserve"> à leur liquidation.</w:t>
      </w:r>
    </w:p>
    <w:p w:rsidR="00E31458" w:rsidRPr="00F40FBE" w:rsidRDefault="00CA1E8F" w:rsidP="00F40FBE">
      <w:pPr>
        <w:pStyle w:val="ECHRPara"/>
        <w:rPr>
          <w:b/>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34</w:t>
      </w:r>
      <w:r w:rsidRPr="00F40FBE">
        <w:rPr>
          <w:lang w:val="fr-FR"/>
        </w:rPr>
        <w:fldChar w:fldCharType="end"/>
      </w:r>
      <w:r w:rsidRPr="00F40FBE">
        <w:rPr>
          <w:lang w:val="fr-FR"/>
        </w:rPr>
        <w:t>.  En ce qui concerne la procédure de faillite,</w:t>
      </w:r>
      <w:r w:rsidR="001234C1" w:rsidRPr="00F40FBE">
        <w:rPr>
          <w:lang w:val="fr-FR"/>
        </w:rPr>
        <w:t xml:space="preserve"> </w:t>
      </w:r>
      <w:r w:rsidRPr="00F40FBE">
        <w:rPr>
          <w:lang w:val="fr-FR"/>
        </w:rPr>
        <w:t xml:space="preserve">la Cour </w:t>
      </w:r>
      <w:r w:rsidR="00B10F46" w:rsidRPr="00F40FBE">
        <w:rPr>
          <w:lang w:val="fr-FR"/>
        </w:rPr>
        <w:t xml:space="preserve">a </w:t>
      </w:r>
      <w:r w:rsidR="0045650B" w:rsidRPr="00F40FBE">
        <w:rPr>
          <w:lang w:val="fr-FR"/>
        </w:rPr>
        <w:t>toujours considéré</w:t>
      </w:r>
      <w:r w:rsidRPr="00F40FBE">
        <w:rPr>
          <w:lang w:val="fr-FR"/>
        </w:rPr>
        <w:t xml:space="preserve"> qu</w:t>
      </w:r>
      <w:r w:rsidR="00F40FBE" w:rsidRPr="00F40FBE">
        <w:rPr>
          <w:lang w:val="fr-FR"/>
        </w:rPr>
        <w:t>’</w:t>
      </w:r>
      <w:r w:rsidRPr="00F40FBE">
        <w:rPr>
          <w:lang w:val="fr-FR"/>
        </w:rPr>
        <w:t xml:space="preserve">il y a contestation à partir du moment où </w:t>
      </w:r>
      <w:r w:rsidR="00F231ED" w:rsidRPr="00F40FBE">
        <w:rPr>
          <w:lang w:val="fr-FR"/>
        </w:rPr>
        <w:t xml:space="preserve">le créancier </w:t>
      </w:r>
      <w:r w:rsidR="00E31458" w:rsidRPr="00F40FBE">
        <w:rPr>
          <w:lang w:val="fr-FR"/>
        </w:rPr>
        <w:t>dépose une déclaration de créance (</w:t>
      </w:r>
      <w:r w:rsidR="00E31458" w:rsidRPr="00F40FBE">
        <w:rPr>
          <w:i/>
          <w:lang w:val="fr-FR"/>
        </w:rPr>
        <w:t>Savona c. Italie</w:t>
      </w:r>
      <w:r w:rsidR="00E31458" w:rsidRPr="00F40FBE">
        <w:rPr>
          <w:lang w:val="fr-FR"/>
        </w:rPr>
        <w:t>, n</w:t>
      </w:r>
      <w:r w:rsidR="00E31458" w:rsidRPr="00F40FBE">
        <w:rPr>
          <w:vertAlign w:val="superscript"/>
          <w:lang w:val="fr-FR"/>
        </w:rPr>
        <w:t>o</w:t>
      </w:r>
      <w:r w:rsidR="00E31458" w:rsidRPr="00F40FBE">
        <w:rPr>
          <w:lang w:val="fr-FR"/>
        </w:rPr>
        <w:t xml:space="preserve"> 38479/97, §</w:t>
      </w:r>
      <w:r w:rsidR="0005697C" w:rsidRPr="00F40FBE">
        <w:rPr>
          <w:lang w:val="fr-FR"/>
        </w:rPr>
        <w:t>§</w:t>
      </w:r>
      <w:r w:rsidR="00E31458" w:rsidRPr="00F40FBE">
        <w:rPr>
          <w:lang w:val="fr-FR"/>
        </w:rPr>
        <w:t xml:space="preserve"> 7</w:t>
      </w:r>
      <w:r w:rsidR="0005697C" w:rsidRPr="00F40FBE">
        <w:rPr>
          <w:lang w:val="fr-FR"/>
        </w:rPr>
        <w:t xml:space="preserve"> et 14</w:t>
      </w:r>
      <w:r w:rsidR="00E31458" w:rsidRPr="00F40FBE">
        <w:rPr>
          <w:lang w:val="fr-FR"/>
        </w:rPr>
        <w:t>, 15</w:t>
      </w:r>
      <w:r w:rsidR="00920445" w:rsidRPr="00F40FBE">
        <w:rPr>
          <w:lang w:val="fr-FR"/>
        </w:rPr>
        <w:t> </w:t>
      </w:r>
      <w:r w:rsidR="00E31458" w:rsidRPr="00F40FBE">
        <w:rPr>
          <w:lang w:val="fr-FR"/>
        </w:rPr>
        <w:t xml:space="preserve">février 2000, </w:t>
      </w:r>
      <w:r w:rsidR="00E31458" w:rsidRPr="00F40FBE">
        <w:rPr>
          <w:i/>
          <w:lang w:val="fr-FR"/>
        </w:rPr>
        <w:t>Venturini c. Italie</w:t>
      </w:r>
      <w:r w:rsidR="00E31458" w:rsidRPr="00F40FBE">
        <w:rPr>
          <w:lang w:val="fr-FR"/>
        </w:rPr>
        <w:t>, n</w:t>
      </w:r>
      <w:r w:rsidR="00E31458" w:rsidRPr="00F40FBE">
        <w:rPr>
          <w:vertAlign w:val="superscript"/>
          <w:lang w:val="fr-FR"/>
        </w:rPr>
        <w:t>o</w:t>
      </w:r>
      <w:r w:rsidR="00E31458" w:rsidRPr="00F40FBE">
        <w:rPr>
          <w:lang w:val="fr-FR"/>
        </w:rPr>
        <w:t xml:space="preserve"> 44534/98, §</w:t>
      </w:r>
      <w:r w:rsidR="0005697C" w:rsidRPr="00F40FBE">
        <w:rPr>
          <w:lang w:val="fr-FR"/>
        </w:rPr>
        <w:t>§</w:t>
      </w:r>
      <w:r w:rsidR="00E31458" w:rsidRPr="00F40FBE">
        <w:rPr>
          <w:lang w:val="fr-FR"/>
        </w:rPr>
        <w:t xml:space="preserve"> 4</w:t>
      </w:r>
      <w:r w:rsidR="0005697C" w:rsidRPr="00F40FBE">
        <w:rPr>
          <w:lang w:val="fr-FR"/>
        </w:rPr>
        <w:t xml:space="preserve"> et 10</w:t>
      </w:r>
      <w:r w:rsidR="00E31458" w:rsidRPr="00F40FBE">
        <w:rPr>
          <w:lang w:val="fr-FR"/>
        </w:rPr>
        <w:t>, 1</w:t>
      </w:r>
      <w:r w:rsidR="00E31458" w:rsidRPr="00F40FBE">
        <w:rPr>
          <w:vertAlign w:val="superscript"/>
          <w:lang w:val="fr-FR"/>
        </w:rPr>
        <w:t>er</w:t>
      </w:r>
      <w:r w:rsidR="00E31458" w:rsidRPr="00F40FBE">
        <w:rPr>
          <w:lang w:val="fr-FR"/>
        </w:rPr>
        <w:t xml:space="preserve"> mars 2001,</w:t>
      </w:r>
      <w:r w:rsidR="003F2B36" w:rsidRPr="00F40FBE">
        <w:rPr>
          <w:lang w:val="fr-FR"/>
        </w:rPr>
        <w:t xml:space="preserve"> et</w:t>
      </w:r>
      <w:r w:rsidR="00E31458" w:rsidRPr="00F40FBE">
        <w:rPr>
          <w:lang w:val="fr-FR"/>
        </w:rPr>
        <w:t xml:space="preserve"> </w:t>
      </w:r>
      <w:r w:rsidR="00E31458" w:rsidRPr="00F40FBE">
        <w:rPr>
          <w:i/>
          <w:lang w:val="fr-FR"/>
        </w:rPr>
        <w:t>Ragas c. Italie</w:t>
      </w:r>
      <w:r w:rsidR="00E31458" w:rsidRPr="00F40FBE">
        <w:rPr>
          <w:lang w:val="fr-FR"/>
        </w:rPr>
        <w:t>, n</w:t>
      </w:r>
      <w:r w:rsidR="00E31458" w:rsidRPr="00F40FBE">
        <w:rPr>
          <w:vertAlign w:val="superscript"/>
          <w:lang w:val="fr-FR"/>
        </w:rPr>
        <w:t>o</w:t>
      </w:r>
      <w:r w:rsidR="0060453A" w:rsidRPr="00F40FBE">
        <w:rPr>
          <w:vertAlign w:val="superscript"/>
          <w:lang w:val="fr-FR"/>
        </w:rPr>
        <w:t> </w:t>
      </w:r>
      <w:r w:rsidR="00E31458" w:rsidRPr="00F40FBE">
        <w:rPr>
          <w:lang w:val="fr-FR"/>
        </w:rPr>
        <w:t xml:space="preserve">44524/98, </w:t>
      </w:r>
      <w:r w:rsidR="0005697C" w:rsidRPr="00F40FBE">
        <w:rPr>
          <w:lang w:val="fr-FR"/>
        </w:rPr>
        <w:t>§</w:t>
      </w:r>
      <w:r w:rsidR="00E31458" w:rsidRPr="00F40FBE">
        <w:rPr>
          <w:lang w:val="fr-FR"/>
        </w:rPr>
        <w:t>§ 3</w:t>
      </w:r>
      <w:r w:rsidR="0005697C" w:rsidRPr="00F40FBE">
        <w:rPr>
          <w:lang w:val="fr-FR"/>
        </w:rPr>
        <w:t xml:space="preserve"> et 9</w:t>
      </w:r>
      <w:r w:rsidR="00E31458" w:rsidRPr="00F40FBE">
        <w:rPr>
          <w:lang w:val="fr-FR"/>
        </w:rPr>
        <w:t>, 23 octobre 2001</w:t>
      </w:r>
      <w:r w:rsidR="00476986" w:rsidRPr="00F40FBE">
        <w:rPr>
          <w:lang w:val="fr-FR"/>
        </w:rPr>
        <w:t>).</w:t>
      </w:r>
    </w:p>
    <w:p w:rsidR="00A1169F" w:rsidRPr="00F40FBE" w:rsidRDefault="002725F6"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35</w:t>
      </w:r>
      <w:r w:rsidRPr="00F40FBE">
        <w:rPr>
          <w:lang w:val="fr-FR"/>
        </w:rPr>
        <w:fldChar w:fldCharType="end"/>
      </w:r>
      <w:r w:rsidRPr="00F40FBE">
        <w:rPr>
          <w:lang w:val="fr-FR"/>
        </w:rPr>
        <w:t>.  </w:t>
      </w:r>
      <w:r w:rsidR="00CA1E8F" w:rsidRPr="00F40FBE">
        <w:rPr>
          <w:lang w:val="fr-FR"/>
        </w:rPr>
        <w:t>Dans l</w:t>
      </w:r>
      <w:r w:rsidR="003F2B36" w:rsidRPr="00F40FBE">
        <w:rPr>
          <w:lang w:val="fr-FR"/>
        </w:rPr>
        <w:t>e</w:t>
      </w:r>
      <w:r w:rsidR="00CA1E8F" w:rsidRPr="00F40FBE">
        <w:rPr>
          <w:lang w:val="fr-FR"/>
        </w:rPr>
        <w:t xml:space="preserve"> cadre de la liquidation administrative, </w:t>
      </w:r>
      <w:r w:rsidR="002F490C" w:rsidRPr="00F40FBE">
        <w:rPr>
          <w:lang w:val="fr-FR"/>
        </w:rPr>
        <w:t>la Cour relève qu</w:t>
      </w:r>
      <w:r w:rsidR="001234C1" w:rsidRPr="00F40FBE">
        <w:rPr>
          <w:lang w:val="fr-FR"/>
        </w:rPr>
        <w:t>e</w:t>
      </w:r>
      <w:r w:rsidR="0056384F" w:rsidRPr="00F40FBE">
        <w:rPr>
          <w:lang w:val="fr-FR"/>
        </w:rPr>
        <w:t xml:space="preserve"> c</w:t>
      </w:r>
      <w:r w:rsidR="00F40FBE" w:rsidRPr="00F40FBE">
        <w:rPr>
          <w:lang w:val="fr-FR"/>
        </w:rPr>
        <w:t>’</w:t>
      </w:r>
      <w:r w:rsidR="0056384F" w:rsidRPr="00F40FBE">
        <w:rPr>
          <w:lang w:val="fr-FR"/>
        </w:rPr>
        <w:t xml:space="preserve">est </w:t>
      </w:r>
      <w:r w:rsidR="00A1169F" w:rsidRPr="00F40FBE">
        <w:rPr>
          <w:lang w:val="fr-FR"/>
        </w:rPr>
        <w:t xml:space="preserve">à </w:t>
      </w:r>
      <w:r w:rsidR="00B10F46" w:rsidRPr="00F40FBE">
        <w:rPr>
          <w:lang w:val="fr-FR"/>
        </w:rPr>
        <w:t xml:space="preserve">partir </w:t>
      </w:r>
      <w:r w:rsidR="00A1169F" w:rsidRPr="00F40FBE">
        <w:rPr>
          <w:lang w:val="fr-FR"/>
        </w:rPr>
        <w:t xml:space="preserve">de la </w:t>
      </w:r>
      <w:r w:rsidR="00B27408" w:rsidRPr="00F40FBE">
        <w:rPr>
          <w:lang w:val="fr-FR"/>
        </w:rPr>
        <w:t xml:space="preserve">première </w:t>
      </w:r>
      <w:r w:rsidR="00A1169F" w:rsidRPr="00F40FBE">
        <w:rPr>
          <w:lang w:val="fr-FR"/>
        </w:rPr>
        <w:t>communication</w:t>
      </w:r>
      <w:r w:rsidR="00B27408" w:rsidRPr="00F40FBE">
        <w:rPr>
          <w:lang w:val="fr-FR"/>
        </w:rPr>
        <w:t xml:space="preserve"> du commissaire relative à</w:t>
      </w:r>
      <w:r w:rsidR="00A1169F" w:rsidRPr="00F40FBE">
        <w:rPr>
          <w:lang w:val="fr-FR"/>
        </w:rPr>
        <w:t xml:space="preserve"> la vérification des créances</w:t>
      </w:r>
      <w:r w:rsidR="00B27408" w:rsidRPr="00F40FBE">
        <w:rPr>
          <w:lang w:val="fr-FR"/>
        </w:rPr>
        <w:t xml:space="preserve"> de l</w:t>
      </w:r>
      <w:r w:rsidR="00F40FBE" w:rsidRPr="00F40FBE">
        <w:rPr>
          <w:lang w:val="fr-FR"/>
        </w:rPr>
        <w:t>’</w:t>
      </w:r>
      <w:r w:rsidR="00B27408" w:rsidRPr="00F40FBE">
        <w:rPr>
          <w:lang w:val="fr-FR"/>
        </w:rPr>
        <w:t>entreprise en cessation de paiements,</w:t>
      </w:r>
      <w:r w:rsidR="0056384F" w:rsidRPr="00F40FBE">
        <w:rPr>
          <w:lang w:val="fr-FR"/>
        </w:rPr>
        <w:t xml:space="preserve"> que</w:t>
      </w:r>
      <w:r w:rsidR="002F490C" w:rsidRPr="00F40FBE">
        <w:rPr>
          <w:lang w:val="fr-FR"/>
        </w:rPr>
        <w:t xml:space="preserve"> </w:t>
      </w:r>
      <w:r w:rsidR="001F2C5F" w:rsidRPr="00F40FBE">
        <w:rPr>
          <w:lang w:val="fr-FR"/>
        </w:rPr>
        <w:t>le créancier</w:t>
      </w:r>
      <w:r w:rsidR="00A1169F" w:rsidRPr="00F40FBE">
        <w:rPr>
          <w:lang w:val="fr-FR"/>
        </w:rPr>
        <w:t xml:space="preserve"> peut</w:t>
      </w:r>
      <w:r w:rsidR="001F2C5F" w:rsidRPr="00F40FBE">
        <w:rPr>
          <w:lang w:val="fr-FR"/>
        </w:rPr>
        <w:t xml:space="preserve"> </w:t>
      </w:r>
      <w:r w:rsidR="00B27408" w:rsidRPr="00F40FBE">
        <w:rPr>
          <w:lang w:val="fr-FR"/>
        </w:rPr>
        <w:t>présenter</w:t>
      </w:r>
      <w:r w:rsidR="001F2C5F" w:rsidRPr="00F40FBE">
        <w:rPr>
          <w:lang w:val="fr-FR"/>
        </w:rPr>
        <w:t xml:space="preserve"> une demande </w:t>
      </w:r>
      <w:r w:rsidR="008B36A0" w:rsidRPr="00F40FBE">
        <w:rPr>
          <w:lang w:val="fr-FR"/>
        </w:rPr>
        <w:t>visant</w:t>
      </w:r>
      <w:r w:rsidR="00B34BD7" w:rsidRPr="00F40FBE">
        <w:rPr>
          <w:lang w:val="fr-FR"/>
        </w:rPr>
        <w:t xml:space="preserve"> l</w:t>
      </w:r>
      <w:r w:rsidR="00F40FBE" w:rsidRPr="00F40FBE">
        <w:rPr>
          <w:lang w:val="fr-FR"/>
        </w:rPr>
        <w:t>’</w:t>
      </w:r>
      <w:r w:rsidR="002F490C" w:rsidRPr="00F40FBE">
        <w:rPr>
          <w:lang w:val="fr-FR"/>
        </w:rPr>
        <w:t>admission de s</w:t>
      </w:r>
      <w:r w:rsidR="00736F05" w:rsidRPr="00F40FBE">
        <w:rPr>
          <w:lang w:val="fr-FR"/>
        </w:rPr>
        <w:t>on crédit</w:t>
      </w:r>
      <w:r w:rsidR="00B27408" w:rsidRPr="00F40FBE">
        <w:rPr>
          <w:lang w:val="fr-FR"/>
        </w:rPr>
        <w:t xml:space="preserve"> dans la liste</w:t>
      </w:r>
      <w:r w:rsidR="00736F05" w:rsidRPr="00F40FBE">
        <w:rPr>
          <w:lang w:val="fr-FR"/>
        </w:rPr>
        <w:t xml:space="preserve"> de créances</w:t>
      </w:r>
      <w:r w:rsidR="00AC2C06" w:rsidRPr="00F40FBE">
        <w:rPr>
          <w:lang w:val="fr-FR"/>
        </w:rPr>
        <w:t xml:space="preserve"> (voir, </w:t>
      </w:r>
      <w:r w:rsidR="00AC2C06" w:rsidRPr="00F40FBE">
        <w:rPr>
          <w:i/>
          <w:lang w:val="fr-FR"/>
        </w:rPr>
        <w:t>mutatis mutandis</w:t>
      </w:r>
      <w:r w:rsidR="00AC2C06" w:rsidRPr="00F40FBE">
        <w:rPr>
          <w:lang w:val="fr-FR"/>
        </w:rPr>
        <w:t xml:space="preserve">, </w:t>
      </w:r>
      <w:r w:rsidR="00AC2C06" w:rsidRPr="00F40FBE">
        <w:rPr>
          <w:i/>
          <w:lang w:val="fr-FR"/>
        </w:rPr>
        <w:t>Santoni c. France</w:t>
      </w:r>
      <w:r w:rsidR="00AC2C06" w:rsidRPr="00F40FBE">
        <w:rPr>
          <w:lang w:val="fr-FR"/>
        </w:rPr>
        <w:t>, n</w:t>
      </w:r>
      <w:r w:rsidR="00AC2C06" w:rsidRPr="00F40FBE">
        <w:rPr>
          <w:vertAlign w:val="superscript"/>
          <w:lang w:val="fr-FR"/>
        </w:rPr>
        <w:t>o </w:t>
      </w:r>
      <w:r w:rsidR="00AC2C06" w:rsidRPr="00F40FBE">
        <w:rPr>
          <w:lang w:val="fr-FR"/>
        </w:rPr>
        <w:t xml:space="preserve">49580/99, § 37, 29 juillet 2003 ; </w:t>
      </w:r>
      <w:r w:rsidR="00AC2C06" w:rsidRPr="00F40FBE">
        <w:rPr>
          <w:i/>
          <w:lang w:val="fr-FR"/>
        </w:rPr>
        <w:t>Jorge Nina Jorge et autres c. Portugal</w:t>
      </w:r>
      <w:r w:rsidR="00AC2C06" w:rsidRPr="00F40FBE">
        <w:rPr>
          <w:lang w:val="fr-FR"/>
        </w:rPr>
        <w:t>, n</w:t>
      </w:r>
      <w:r w:rsidR="00AC2C06" w:rsidRPr="00F40FBE">
        <w:rPr>
          <w:vertAlign w:val="superscript"/>
          <w:lang w:val="fr-FR"/>
        </w:rPr>
        <w:t>o </w:t>
      </w:r>
      <w:r w:rsidR="00AC2C06" w:rsidRPr="00F40FBE">
        <w:rPr>
          <w:lang w:val="fr-FR"/>
        </w:rPr>
        <w:t>52662/99, §§ 30 et 31,19 février 2004)</w:t>
      </w:r>
      <w:r w:rsidR="001F2C5F" w:rsidRPr="00F40FBE">
        <w:rPr>
          <w:lang w:val="fr-FR"/>
        </w:rPr>
        <w:t>.</w:t>
      </w:r>
    </w:p>
    <w:p w:rsidR="00927822" w:rsidRPr="00F40FBE" w:rsidRDefault="00A1169F"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36</w:t>
      </w:r>
      <w:r w:rsidRPr="00F40FBE">
        <w:rPr>
          <w:lang w:val="fr-FR"/>
        </w:rPr>
        <w:fldChar w:fldCharType="end"/>
      </w:r>
      <w:r w:rsidRPr="00F40FBE">
        <w:rPr>
          <w:lang w:val="fr-FR"/>
        </w:rPr>
        <w:t>.  </w:t>
      </w:r>
      <w:r w:rsidR="001F2C5F" w:rsidRPr="00F40FBE">
        <w:rPr>
          <w:lang w:val="fr-FR"/>
        </w:rPr>
        <w:t>E</w:t>
      </w:r>
      <w:r w:rsidR="003D5F1D" w:rsidRPr="00F40FBE">
        <w:rPr>
          <w:lang w:val="fr-FR"/>
        </w:rPr>
        <w:t>n s</w:t>
      </w:r>
      <w:r w:rsidR="00F40FBE" w:rsidRPr="00F40FBE">
        <w:rPr>
          <w:lang w:val="fr-FR"/>
        </w:rPr>
        <w:t>’</w:t>
      </w:r>
      <w:r w:rsidR="001F2C5F" w:rsidRPr="00F40FBE">
        <w:rPr>
          <w:lang w:val="fr-FR"/>
        </w:rPr>
        <w:t>intéressant</w:t>
      </w:r>
      <w:r w:rsidR="00527FF8" w:rsidRPr="00F40FBE">
        <w:rPr>
          <w:lang w:val="fr-FR"/>
        </w:rPr>
        <w:t xml:space="preserve"> à l</w:t>
      </w:r>
      <w:r w:rsidR="00F40FBE" w:rsidRPr="00F40FBE">
        <w:rPr>
          <w:lang w:val="fr-FR"/>
        </w:rPr>
        <w:t>’</w:t>
      </w:r>
      <w:r w:rsidR="00527FF8" w:rsidRPr="00F40FBE">
        <w:rPr>
          <w:lang w:val="fr-FR"/>
        </w:rPr>
        <w:t>impact réel de cette démarche dans</w:t>
      </w:r>
      <w:r w:rsidR="008B36A0" w:rsidRPr="00F40FBE">
        <w:rPr>
          <w:lang w:val="fr-FR"/>
        </w:rPr>
        <w:t xml:space="preserve"> le cadre de</w:t>
      </w:r>
      <w:r w:rsidR="00527FF8" w:rsidRPr="00F40FBE">
        <w:rPr>
          <w:lang w:val="fr-FR"/>
        </w:rPr>
        <w:t xml:space="preserve"> la procédure litigieuse (voir, </w:t>
      </w:r>
      <w:r w:rsidR="00527FF8" w:rsidRPr="00F40FBE">
        <w:rPr>
          <w:i/>
          <w:lang w:val="fr-FR"/>
        </w:rPr>
        <w:t>mutatis mutandis</w:t>
      </w:r>
      <w:r w:rsidR="00527FF8" w:rsidRPr="00F40FBE">
        <w:rPr>
          <w:lang w:val="fr-FR"/>
        </w:rPr>
        <w:t xml:space="preserve">, </w:t>
      </w:r>
      <w:r w:rsidR="00527FF8" w:rsidRPr="00F40FBE">
        <w:rPr>
          <w:i/>
          <w:lang w:val="fr-FR"/>
        </w:rPr>
        <w:t>Gorou c.</w:t>
      </w:r>
      <w:r w:rsidR="00476986" w:rsidRPr="00F40FBE">
        <w:rPr>
          <w:i/>
          <w:lang w:val="fr-FR"/>
        </w:rPr>
        <w:t> </w:t>
      </w:r>
      <w:r w:rsidR="00527FF8" w:rsidRPr="00F40FBE">
        <w:rPr>
          <w:i/>
          <w:lang w:val="fr-FR"/>
        </w:rPr>
        <w:t>Grèce (n</w:t>
      </w:r>
      <w:r w:rsidR="00527FF8" w:rsidRPr="00F40FBE">
        <w:rPr>
          <w:rFonts w:cs="Times New Roman"/>
          <w:i/>
          <w:vertAlign w:val="superscript"/>
          <w:lang w:val="fr-FR"/>
        </w:rPr>
        <w:t>o</w:t>
      </w:r>
      <w:r w:rsidR="00527FF8" w:rsidRPr="00F40FBE">
        <w:rPr>
          <w:i/>
          <w:lang w:val="fr-FR"/>
        </w:rPr>
        <w:t xml:space="preserve"> 2)</w:t>
      </w:r>
      <w:r w:rsidR="00527FF8" w:rsidRPr="00F40FBE">
        <w:rPr>
          <w:lang w:val="fr-FR"/>
        </w:rPr>
        <w:t xml:space="preserve"> [GC], n</w:t>
      </w:r>
      <w:r w:rsidR="00527FF8" w:rsidRPr="00F40FBE">
        <w:rPr>
          <w:vertAlign w:val="superscript"/>
          <w:lang w:val="fr-FR"/>
        </w:rPr>
        <w:t>o</w:t>
      </w:r>
      <w:r w:rsidR="00527FF8" w:rsidRPr="00F40FBE">
        <w:rPr>
          <w:lang w:val="fr-FR"/>
        </w:rPr>
        <w:t xml:space="preserve"> 12686/03, </w:t>
      </w:r>
      <w:r w:rsidR="00527FF8" w:rsidRPr="00F40FBE">
        <w:rPr>
          <w:snapToGrid w:val="0"/>
          <w:lang w:val="fr-FR"/>
        </w:rPr>
        <w:t xml:space="preserve">§ 30, </w:t>
      </w:r>
      <w:r w:rsidR="00527FF8" w:rsidRPr="00F40FBE">
        <w:rPr>
          <w:lang w:val="fr-FR"/>
        </w:rPr>
        <w:t>20 mars 2009</w:t>
      </w:r>
      <w:r w:rsidR="003D5F1D" w:rsidRPr="00F40FBE">
        <w:rPr>
          <w:lang w:val="pt-PT"/>
        </w:rPr>
        <w:t>)</w:t>
      </w:r>
      <w:r w:rsidR="0056384F" w:rsidRPr="00F40FBE">
        <w:rPr>
          <w:lang w:val="pt-PT"/>
        </w:rPr>
        <w:t>,</w:t>
      </w:r>
      <w:r w:rsidR="00F231ED" w:rsidRPr="00F40FBE">
        <w:rPr>
          <w:lang w:val="fr-FR"/>
        </w:rPr>
        <w:t xml:space="preserve"> </w:t>
      </w:r>
      <w:r w:rsidR="001F2C5F" w:rsidRPr="00F40FBE">
        <w:rPr>
          <w:lang w:val="fr-FR"/>
        </w:rPr>
        <w:t xml:space="preserve">la Cour </w:t>
      </w:r>
      <w:r w:rsidR="00E41277" w:rsidRPr="00F40FBE">
        <w:rPr>
          <w:lang w:val="fr-FR"/>
        </w:rPr>
        <w:t>estime</w:t>
      </w:r>
      <w:r w:rsidR="001F2C5F" w:rsidRPr="00F40FBE">
        <w:rPr>
          <w:lang w:val="fr-FR"/>
        </w:rPr>
        <w:t xml:space="preserve"> </w:t>
      </w:r>
      <w:r w:rsidR="00E41277" w:rsidRPr="00F40FBE">
        <w:rPr>
          <w:lang w:val="fr-FR"/>
        </w:rPr>
        <w:t>en l</w:t>
      </w:r>
      <w:r w:rsidR="00F40FBE" w:rsidRPr="00F40FBE">
        <w:rPr>
          <w:lang w:val="fr-FR"/>
        </w:rPr>
        <w:t>’</w:t>
      </w:r>
      <w:r w:rsidR="00F93419" w:rsidRPr="00F40FBE">
        <w:rPr>
          <w:lang w:val="fr-FR"/>
        </w:rPr>
        <w:t>occurrence</w:t>
      </w:r>
      <w:r w:rsidR="00E41277" w:rsidRPr="00F40FBE">
        <w:rPr>
          <w:lang w:val="fr-FR"/>
        </w:rPr>
        <w:t xml:space="preserve"> </w:t>
      </w:r>
      <w:r w:rsidR="001F2C5F" w:rsidRPr="00F40FBE">
        <w:rPr>
          <w:lang w:val="fr-FR"/>
        </w:rPr>
        <w:t>qu</w:t>
      </w:r>
      <w:r w:rsidR="003F2B36" w:rsidRPr="00F40FBE">
        <w:rPr>
          <w:lang w:val="fr-FR"/>
        </w:rPr>
        <w:t>e,</w:t>
      </w:r>
      <w:r w:rsidR="0005697C" w:rsidRPr="00F40FBE">
        <w:rPr>
          <w:lang w:val="fr-FR"/>
        </w:rPr>
        <w:t xml:space="preserve"> </w:t>
      </w:r>
      <w:r w:rsidR="00F231ED" w:rsidRPr="00F40FBE">
        <w:rPr>
          <w:lang w:val="fr-FR"/>
        </w:rPr>
        <w:t xml:space="preserve">à </w:t>
      </w:r>
      <w:r w:rsidR="00D51911" w:rsidRPr="00F40FBE">
        <w:rPr>
          <w:lang w:val="fr-FR"/>
        </w:rPr>
        <w:t>partir</w:t>
      </w:r>
      <w:r w:rsidR="00F231ED" w:rsidRPr="00F40FBE">
        <w:rPr>
          <w:lang w:val="fr-FR"/>
        </w:rPr>
        <w:t xml:space="preserve"> de la</w:t>
      </w:r>
      <w:r w:rsidR="00736F05" w:rsidRPr="00F40FBE">
        <w:rPr>
          <w:lang w:val="fr-FR"/>
        </w:rPr>
        <w:t>dite</w:t>
      </w:r>
      <w:r w:rsidR="003D5F1D" w:rsidRPr="00F40FBE">
        <w:rPr>
          <w:lang w:val="fr-FR"/>
        </w:rPr>
        <w:t xml:space="preserve"> demande</w:t>
      </w:r>
      <w:r w:rsidR="00B44856" w:rsidRPr="00F40FBE">
        <w:rPr>
          <w:lang w:val="fr-FR"/>
        </w:rPr>
        <w:t xml:space="preserve"> formulée par le créancier</w:t>
      </w:r>
      <w:r w:rsidR="00D51911" w:rsidRPr="00F40FBE">
        <w:rPr>
          <w:lang w:val="fr-FR"/>
        </w:rPr>
        <w:t>,</w:t>
      </w:r>
      <w:r w:rsidR="003D5F1D" w:rsidRPr="00F40FBE">
        <w:rPr>
          <w:lang w:val="fr-FR"/>
        </w:rPr>
        <w:t xml:space="preserve"> </w:t>
      </w:r>
      <w:r w:rsidR="00527FF8" w:rsidRPr="00F40FBE">
        <w:rPr>
          <w:lang w:val="fr-FR"/>
        </w:rPr>
        <w:t xml:space="preserve">il surgit une </w:t>
      </w:r>
      <w:r w:rsidR="00B27408" w:rsidRPr="00F40FBE">
        <w:rPr>
          <w:lang w:val="fr-FR"/>
        </w:rPr>
        <w:t>« contestation »</w:t>
      </w:r>
      <w:r w:rsidR="00F93419" w:rsidRPr="00F40FBE">
        <w:rPr>
          <w:lang w:val="fr-FR"/>
        </w:rPr>
        <w:t xml:space="preserve"> </w:t>
      </w:r>
      <w:r w:rsidR="00FE6AB8" w:rsidRPr="00F40FBE">
        <w:rPr>
          <w:lang w:val="fr-FR"/>
        </w:rPr>
        <w:t>réelle</w:t>
      </w:r>
      <w:r w:rsidR="00F93419" w:rsidRPr="00F40FBE">
        <w:rPr>
          <w:lang w:val="fr-FR"/>
        </w:rPr>
        <w:t xml:space="preserve"> et </w:t>
      </w:r>
      <w:r w:rsidR="00653725" w:rsidRPr="00F40FBE">
        <w:rPr>
          <w:lang w:val="fr-FR"/>
        </w:rPr>
        <w:t>sérieuse</w:t>
      </w:r>
      <w:r w:rsidR="00F93419" w:rsidRPr="00F40FBE">
        <w:rPr>
          <w:lang w:val="fr-FR"/>
        </w:rPr>
        <w:t xml:space="preserve"> sur un droit de caractère civil, </w:t>
      </w:r>
      <w:r w:rsidR="00B10F46" w:rsidRPr="00F40FBE">
        <w:rPr>
          <w:lang w:val="fr-FR"/>
        </w:rPr>
        <w:t>s</w:t>
      </w:r>
      <w:r w:rsidR="00F40FBE" w:rsidRPr="00F40FBE">
        <w:rPr>
          <w:lang w:val="fr-FR"/>
        </w:rPr>
        <w:t>’</w:t>
      </w:r>
      <w:r w:rsidR="00B10F46" w:rsidRPr="00F40FBE">
        <w:rPr>
          <w:lang w:val="fr-FR"/>
        </w:rPr>
        <w:t>agissant d</w:t>
      </w:r>
      <w:r w:rsidR="00F40FBE" w:rsidRPr="00F40FBE">
        <w:rPr>
          <w:lang w:val="fr-FR"/>
        </w:rPr>
        <w:t>’</w:t>
      </w:r>
      <w:r w:rsidR="00B10F46" w:rsidRPr="00F40FBE">
        <w:rPr>
          <w:lang w:val="fr-FR"/>
        </w:rPr>
        <w:t>un</w:t>
      </w:r>
      <w:r w:rsidR="00736F05" w:rsidRPr="00F40FBE">
        <w:rPr>
          <w:lang w:val="fr-FR"/>
        </w:rPr>
        <w:t>e créance</w:t>
      </w:r>
      <w:r w:rsidR="00B10F46" w:rsidRPr="00F40FBE">
        <w:rPr>
          <w:lang w:val="fr-FR"/>
        </w:rPr>
        <w:t xml:space="preserve"> fondé</w:t>
      </w:r>
      <w:r w:rsidR="00736F05" w:rsidRPr="00F40FBE">
        <w:rPr>
          <w:lang w:val="fr-FR"/>
        </w:rPr>
        <w:t>e</w:t>
      </w:r>
      <w:r w:rsidR="00B10F46" w:rsidRPr="00F40FBE">
        <w:rPr>
          <w:lang w:val="fr-FR"/>
        </w:rPr>
        <w:t xml:space="preserve"> sur </w:t>
      </w:r>
      <w:r w:rsidR="00573BDA" w:rsidRPr="00F40FBE">
        <w:rPr>
          <w:lang w:val="fr-FR"/>
        </w:rPr>
        <w:t xml:space="preserve">des </w:t>
      </w:r>
      <w:r w:rsidR="00B27408" w:rsidRPr="00F40FBE">
        <w:rPr>
          <w:lang w:val="fr-FR"/>
        </w:rPr>
        <w:t>lettres</w:t>
      </w:r>
      <w:r w:rsidR="00573BDA" w:rsidRPr="00F40FBE">
        <w:rPr>
          <w:lang w:val="fr-FR"/>
        </w:rPr>
        <w:t xml:space="preserve"> de </w:t>
      </w:r>
      <w:r w:rsidR="00B27408" w:rsidRPr="00F40FBE">
        <w:rPr>
          <w:lang w:val="fr-FR"/>
        </w:rPr>
        <w:t>change</w:t>
      </w:r>
      <w:r w:rsidR="00527FF8" w:rsidRPr="00F40FBE">
        <w:rPr>
          <w:lang w:val="fr-FR"/>
        </w:rPr>
        <w:t xml:space="preserve"> (</w:t>
      </w:r>
      <w:r w:rsidR="00527FF8" w:rsidRPr="00F40FBE">
        <w:rPr>
          <w:i/>
          <w:iCs/>
          <w:lang w:val="fr-FR"/>
        </w:rPr>
        <w:t xml:space="preserve">Neves </w:t>
      </w:r>
      <w:r w:rsidR="0005697C" w:rsidRPr="00F40FBE">
        <w:rPr>
          <w:i/>
          <w:iCs/>
          <w:lang w:val="fr-FR"/>
        </w:rPr>
        <w:t>e</w:t>
      </w:r>
      <w:r w:rsidR="00527FF8" w:rsidRPr="00F40FBE">
        <w:rPr>
          <w:i/>
          <w:iCs/>
          <w:lang w:val="fr-FR"/>
        </w:rPr>
        <w:t xml:space="preserve"> Silva c.</w:t>
      </w:r>
      <w:r w:rsidR="0060453A" w:rsidRPr="00F40FBE">
        <w:rPr>
          <w:i/>
          <w:iCs/>
          <w:lang w:val="fr-FR"/>
        </w:rPr>
        <w:t> </w:t>
      </w:r>
      <w:r w:rsidR="00527FF8" w:rsidRPr="00F40FBE">
        <w:rPr>
          <w:i/>
          <w:iCs/>
          <w:lang w:val="fr-FR"/>
        </w:rPr>
        <w:t>Portugal</w:t>
      </w:r>
      <w:r w:rsidR="00527FF8" w:rsidRPr="00F40FBE">
        <w:rPr>
          <w:lang w:val="fr-FR"/>
        </w:rPr>
        <w:t xml:space="preserve">, </w:t>
      </w:r>
      <w:r w:rsidR="00527FF8" w:rsidRPr="00F40FBE">
        <w:rPr>
          <w:lang w:val="fr-FR"/>
        </w:rPr>
        <w:lastRenderedPageBreak/>
        <w:t>§</w:t>
      </w:r>
      <w:r w:rsidR="00920445" w:rsidRPr="00F40FBE">
        <w:rPr>
          <w:lang w:val="fr-FR"/>
        </w:rPr>
        <w:t> </w:t>
      </w:r>
      <w:r w:rsidR="00527FF8" w:rsidRPr="00F40FBE">
        <w:rPr>
          <w:lang w:val="fr-FR"/>
        </w:rPr>
        <w:t>37, 27 avril 1989, série A n</w:t>
      </w:r>
      <w:r w:rsidR="00927822" w:rsidRPr="00F40FBE">
        <w:rPr>
          <w:vertAlign w:val="superscript"/>
          <w:lang w:val="fr-FR"/>
        </w:rPr>
        <w:t>o</w:t>
      </w:r>
      <w:r w:rsidR="00527FF8" w:rsidRPr="00F40FBE">
        <w:rPr>
          <w:lang w:val="fr-FR"/>
        </w:rPr>
        <w:t xml:space="preserve"> 153-A,</w:t>
      </w:r>
      <w:r w:rsidR="003F2B36" w:rsidRPr="00F40FBE">
        <w:rPr>
          <w:lang w:val="fr-FR"/>
        </w:rPr>
        <w:t xml:space="preserve"> et</w:t>
      </w:r>
      <w:r w:rsidR="00527FF8" w:rsidRPr="00F40FBE">
        <w:rPr>
          <w:lang w:val="fr-FR"/>
        </w:rPr>
        <w:t xml:space="preserve"> </w:t>
      </w:r>
      <w:r w:rsidR="00527FF8" w:rsidRPr="00F40FBE">
        <w:rPr>
          <w:i/>
          <w:iCs/>
          <w:lang w:val="fr-FR"/>
        </w:rPr>
        <w:t>Éditions Périscope c.</w:t>
      </w:r>
      <w:r w:rsidR="0060453A" w:rsidRPr="00F40FBE">
        <w:rPr>
          <w:i/>
          <w:iCs/>
          <w:lang w:val="fr-FR"/>
        </w:rPr>
        <w:t> </w:t>
      </w:r>
      <w:r w:rsidR="00527FF8" w:rsidRPr="00F40FBE">
        <w:rPr>
          <w:i/>
          <w:iCs/>
          <w:lang w:val="fr-FR"/>
        </w:rPr>
        <w:t>France</w:t>
      </w:r>
      <w:r w:rsidR="00527FF8" w:rsidRPr="00F40FBE">
        <w:rPr>
          <w:lang w:val="fr-FR"/>
        </w:rPr>
        <w:t>, §</w:t>
      </w:r>
      <w:r w:rsidR="003E3C2F" w:rsidRPr="00F40FBE">
        <w:rPr>
          <w:lang w:val="fr-FR"/>
        </w:rPr>
        <w:t xml:space="preserve"> </w:t>
      </w:r>
      <w:r w:rsidR="00527FF8" w:rsidRPr="00F40FBE">
        <w:rPr>
          <w:lang w:val="fr-FR"/>
        </w:rPr>
        <w:t>38, 26 mars 1992, série A n</w:t>
      </w:r>
      <w:r w:rsidR="00927822" w:rsidRPr="00F40FBE">
        <w:rPr>
          <w:vertAlign w:val="superscript"/>
          <w:lang w:val="fr-FR"/>
        </w:rPr>
        <w:t>o</w:t>
      </w:r>
      <w:r w:rsidR="00527FF8" w:rsidRPr="00F40FBE">
        <w:rPr>
          <w:lang w:val="fr-FR"/>
        </w:rPr>
        <w:t xml:space="preserve"> 234-B)</w:t>
      </w:r>
      <w:r w:rsidR="00736F05" w:rsidRPr="00F40FBE">
        <w:rPr>
          <w:lang w:val="fr-FR"/>
        </w:rPr>
        <w:t>.</w:t>
      </w:r>
    </w:p>
    <w:p w:rsidR="007246C2" w:rsidRPr="00F40FBE" w:rsidRDefault="00F231ED"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37</w:t>
      </w:r>
      <w:r w:rsidRPr="00F40FBE">
        <w:rPr>
          <w:lang w:val="fr-FR"/>
        </w:rPr>
        <w:fldChar w:fldCharType="end"/>
      </w:r>
      <w:r w:rsidRPr="00F40FBE">
        <w:rPr>
          <w:lang w:val="fr-FR"/>
        </w:rPr>
        <w:t>.  </w:t>
      </w:r>
      <w:r w:rsidR="00E41277" w:rsidRPr="00F40FBE">
        <w:rPr>
          <w:lang w:val="fr-FR"/>
        </w:rPr>
        <w:t>Dès lors</w:t>
      </w:r>
      <w:r w:rsidR="00C1381E" w:rsidRPr="00F40FBE">
        <w:rPr>
          <w:lang w:val="fr-FR"/>
        </w:rPr>
        <w:t>,</w:t>
      </w:r>
      <w:r w:rsidR="006A27E7" w:rsidRPr="00F40FBE">
        <w:rPr>
          <w:lang w:val="fr-FR"/>
        </w:rPr>
        <w:t xml:space="preserve"> la Cour </w:t>
      </w:r>
      <w:r w:rsidR="002F490C" w:rsidRPr="00F40FBE">
        <w:rPr>
          <w:lang w:val="fr-FR"/>
        </w:rPr>
        <w:t xml:space="preserve">conclut que </w:t>
      </w:r>
      <w:r w:rsidR="00A218C1" w:rsidRPr="00F40FBE">
        <w:rPr>
          <w:lang w:val="fr-FR"/>
        </w:rPr>
        <w:t>l</w:t>
      </w:r>
      <w:r w:rsidR="00F40FBE" w:rsidRPr="00F40FBE">
        <w:rPr>
          <w:lang w:val="fr-FR"/>
        </w:rPr>
        <w:t>’</w:t>
      </w:r>
      <w:r w:rsidR="004B3285" w:rsidRPr="00F40FBE">
        <w:rPr>
          <w:lang w:val="fr-FR"/>
        </w:rPr>
        <w:t>article 6</w:t>
      </w:r>
      <w:r w:rsidR="00736F05" w:rsidRPr="00F40FBE">
        <w:rPr>
          <w:lang w:val="fr-FR"/>
        </w:rPr>
        <w:t xml:space="preserve"> § 1</w:t>
      </w:r>
      <w:r w:rsidR="004B3285" w:rsidRPr="00F40FBE">
        <w:rPr>
          <w:lang w:val="fr-FR"/>
        </w:rPr>
        <w:t xml:space="preserve"> </w:t>
      </w:r>
      <w:r w:rsidR="00A218C1" w:rsidRPr="00F40FBE">
        <w:rPr>
          <w:lang w:val="fr-FR"/>
        </w:rPr>
        <w:t xml:space="preserve">de la Convention </w:t>
      </w:r>
      <w:r w:rsidR="00A1169F" w:rsidRPr="00F40FBE">
        <w:rPr>
          <w:lang w:val="fr-FR"/>
        </w:rPr>
        <w:t>trouve à s</w:t>
      </w:r>
      <w:r w:rsidR="00F40FBE" w:rsidRPr="00F40FBE">
        <w:rPr>
          <w:lang w:val="fr-FR"/>
        </w:rPr>
        <w:t>’</w:t>
      </w:r>
      <w:r w:rsidR="00A1169F" w:rsidRPr="00F40FBE">
        <w:rPr>
          <w:lang w:val="fr-FR"/>
        </w:rPr>
        <w:t>appliquer</w:t>
      </w:r>
      <w:r w:rsidR="004B3285" w:rsidRPr="00F40FBE">
        <w:rPr>
          <w:lang w:val="fr-FR"/>
        </w:rPr>
        <w:t xml:space="preserve"> à la présente espèce.</w:t>
      </w:r>
    </w:p>
    <w:p w:rsidR="007246C2" w:rsidRPr="00F40FBE" w:rsidRDefault="007246C2" w:rsidP="00F40FBE">
      <w:pPr>
        <w:pStyle w:val="ECHRHeading3"/>
        <w:rPr>
          <w:lang w:val="pl-PL"/>
        </w:rPr>
      </w:pPr>
      <w:r w:rsidRPr="00F40FBE">
        <w:rPr>
          <w:lang w:val="pl-PL"/>
        </w:rPr>
        <w:t>2.</w:t>
      </w:r>
      <w:r w:rsidR="003F2B36" w:rsidRPr="00F40FBE">
        <w:rPr>
          <w:lang w:val="pl-PL"/>
        </w:rPr>
        <w:t>  </w:t>
      </w:r>
      <w:r w:rsidRPr="00F40FBE">
        <w:rPr>
          <w:lang w:val="pl-PL"/>
        </w:rPr>
        <w:t>Sur le non</w:t>
      </w:r>
      <w:r w:rsidR="003E3C2F" w:rsidRPr="00F40FBE">
        <w:rPr>
          <w:lang w:val="pl-PL"/>
        </w:rPr>
        <w:t>-</w:t>
      </w:r>
      <w:r w:rsidRPr="00F40FBE">
        <w:rPr>
          <w:lang w:val="fr-FR"/>
        </w:rPr>
        <w:t>épuisement des voies de recours internes</w:t>
      </w:r>
    </w:p>
    <w:p w:rsidR="007246C2" w:rsidRPr="00F40FBE" w:rsidRDefault="00930B6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38</w:t>
      </w:r>
      <w:r w:rsidRPr="00F40FBE">
        <w:rPr>
          <w:lang w:val="fr-FR"/>
        </w:rPr>
        <w:fldChar w:fldCharType="end"/>
      </w:r>
      <w:r w:rsidRPr="00F40FBE">
        <w:rPr>
          <w:lang w:val="fr-FR"/>
        </w:rPr>
        <w:t xml:space="preserve">.  La Cour prend </w:t>
      </w:r>
      <w:r w:rsidR="009607CD" w:rsidRPr="00F40FBE">
        <w:rPr>
          <w:lang w:val="fr-FR"/>
        </w:rPr>
        <w:t>acte</w:t>
      </w:r>
      <w:r w:rsidRPr="00F40FBE">
        <w:rPr>
          <w:lang w:val="fr-FR"/>
        </w:rPr>
        <w:t xml:space="preserve"> des observa</w:t>
      </w:r>
      <w:r w:rsidR="0060453A" w:rsidRPr="00F40FBE">
        <w:rPr>
          <w:lang w:val="fr-FR"/>
        </w:rPr>
        <w:t>tions du gouvernement défendeur</w:t>
      </w:r>
      <w:r w:rsidR="00D96E4F" w:rsidRPr="00F40FBE">
        <w:rPr>
          <w:lang w:val="fr-FR"/>
        </w:rPr>
        <w:t>,</w:t>
      </w:r>
      <w:r w:rsidR="0060453A" w:rsidRPr="00F40FBE">
        <w:rPr>
          <w:lang w:val="fr-FR"/>
        </w:rPr>
        <w:t xml:space="preserve"> qui maintient,</w:t>
      </w:r>
      <w:r w:rsidR="00A1169F" w:rsidRPr="00F40FBE">
        <w:rPr>
          <w:lang w:val="fr-FR"/>
        </w:rPr>
        <w:t xml:space="preserve"> </w:t>
      </w:r>
      <w:r w:rsidR="0060453A" w:rsidRPr="00F40FBE">
        <w:rPr>
          <w:lang w:val="fr-FR"/>
        </w:rPr>
        <w:t>e</w:t>
      </w:r>
      <w:r w:rsidR="00A1169F" w:rsidRPr="00F40FBE">
        <w:rPr>
          <w:lang w:val="fr-FR"/>
        </w:rPr>
        <w:t>n s</w:t>
      </w:r>
      <w:r w:rsidR="00F40FBE" w:rsidRPr="00F40FBE">
        <w:rPr>
          <w:lang w:val="fr-FR"/>
        </w:rPr>
        <w:t>’</w:t>
      </w:r>
      <w:r w:rsidR="00A1169F" w:rsidRPr="00F40FBE">
        <w:rPr>
          <w:lang w:val="fr-FR"/>
        </w:rPr>
        <w:t xml:space="preserve">appuyant sur </w:t>
      </w:r>
      <w:r w:rsidR="00A47501" w:rsidRPr="00F40FBE">
        <w:rPr>
          <w:lang w:val="fr-FR"/>
        </w:rPr>
        <w:t>la</w:t>
      </w:r>
      <w:r w:rsidR="009607CD" w:rsidRPr="00F40FBE">
        <w:rPr>
          <w:lang w:val="fr-FR"/>
        </w:rPr>
        <w:t xml:space="preserve"> jurisprudence interne</w:t>
      </w:r>
      <w:r w:rsidR="00A1169F" w:rsidRPr="00F40FBE">
        <w:rPr>
          <w:lang w:val="fr-FR"/>
        </w:rPr>
        <w:t xml:space="preserve"> bien</w:t>
      </w:r>
      <w:r w:rsidR="00A47501" w:rsidRPr="00F40FBE">
        <w:rPr>
          <w:lang w:val="fr-FR"/>
        </w:rPr>
        <w:t xml:space="preserve"> établie</w:t>
      </w:r>
      <w:r w:rsidR="009607CD" w:rsidRPr="00F40FBE">
        <w:rPr>
          <w:lang w:val="fr-FR"/>
        </w:rPr>
        <w:t>,</w:t>
      </w:r>
      <w:r w:rsidRPr="00F40FBE">
        <w:rPr>
          <w:lang w:val="fr-FR"/>
        </w:rPr>
        <w:t xml:space="preserve"> </w:t>
      </w:r>
      <w:r w:rsidR="0060453A" w:rsidRPr="00F40FBE">
        <w:rPr>
          <w:lang w:val="fr-FR"/>
        </w:rPr>
        <w:t xml:space="preserve">que </w:t>
      </w:r>
      <w:r w:rsidRPr="00F40FBE">
        <w:rPr>
          <w:lang w:val="fr-FR"/>
        </w:rPr>
        <w:t xml:space="preserve">la </w:t>
      </w:r>
      <w:r w:rsidR="00970147" w:rsidRPr="00F40FBE">
        <w:rPr>
          <w:lang w:val="fr-FR"/>
        </w:rPr>
        <w:t>« </w:t>
      </w:r>
      <w:r w:rsidRPr="00F40FBE">
        <w:rPr>
          <w:lang w:val="fr-FR"/>
        </w:rPr>
        <w:t>loi Pinto</w:t>
      </w:r>
      <w:r w:rsidR="00970147" w:rsidRPr="00F40FBE">
        <w:rPr>
          <w:lang w:val="fr-FR"/>
        </w:rPr>
        <w:t> »</w:t>
      </w:r>
      <w:r w:rsidR="00736F05" w:rsidRPr="00F40FBE">
        <w:rPr>
          <w:lang w:val="fr-FR"/>
        </w:rPr>
        <w:t xml:space="preserve"> </w:t>
      </w:r>
      <w:r w:rsidR="003F2B36" w:rsidRPr="00F40FBE">
        <w:rPr>
          <w:lang w:val="fr-FR"/>
        </w:rPr>
        <w:t>n</w:t>
      </w:r>
      <w:r w:rsidR="00F40FBE" w:rsidRPr="00F40FBE">
        <w:rPr>
          <w:lang w:val="fr-FR"/>
        </w:rPr>
        <w:t>’</w:t>
      </w:r>
      <w:r w:rsidR="003F2B36" w:rsidRPr="00F40FBE">
        <w:rPr>
          <w:lang w:val="fr-FR"/>
        </w:rPr>
        <w:t>est</w:t>
      </w:r>
      <w:r w:rsidRPr="00F40FBE">
        <w:rPr>
          <w:lang w:val="fr-FR"/>
        </w:rPr>
        <w:t xml:space="preserve"> pas applicable </w:t>
      </w:r>
      <w:r w:rsidR="00A1169F" w:rsidRPr="00F40FBE">
        <w:rPr>
          <w:lang w:val="fr-FR"/>
        </w:rPr>
        <w:t>à la liquidation administrative.</w:t>
      </w:r>
    </w:p>
    <w:p w:rsidR="00930B64" w:rsidRPr="00F40FBE" w:rsidRDefault="00930B6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39</w:t>
      </w:r>
      <w:r w:rsidRPr="00F40FBE">
        <w:rPr>
          <w:lang w:val="fr-FR"/>
        </w:rPr>
        <w:fldChar w:fldCharType="end"/>
      </w:r>
      <w:r w:rsidRPr="00F40FBE">
        <w:rPr>
          <w:lang w:val="fr-FR"/>
        </w:rPr>
        <w:t>.  </w:t>
      </w:r>
      <w:r w:rsidR="008B36A0" w:rsidRPr="00F40FBE">
        <w:rPr>
          <w:lang w:val="fr-FR"/>
        </w:rPr>
        <w:t>Elle</w:t>
      </w:r>
      <w:r w:rsidRPr="00F40FBE">
        <w:rPr>
          <w:lang w:val="fr-FR"/>
        </w:rPr>
        <w:t xml:space="preserve"> observe que</w:t>
      </w:r>
      <w:r w:rsidR="00351D9F" w:rsidRPr="00F40FBE">
        <w:rPr>
          <w:lang w:val="fr-FR"/>
        </w:rPr>
        <w:t>, d</w:t>
      </w:r>
      <w:r w:rsidR="00F40FBE" w:rsidRPr="00F40FBE">
        <w:rPr>
          <w:lang w:val="fr-FR"/>
        </w:rPr>
        <w:t>’</w:t>
      </w:r>
      <w:r w:rsidR="00351D9F" w:rsidRPr="00F40FBE">
        <w:rPr>
          <w:lang w:val="fr-FR"/>
        </w:rPr>
        <w:t>après cette même</w:t>
      </w:r>
      <w:r w:rsidRPr="00F40FBE">
        <w:rPr>
          <w:lang w:val="fr-FR"/>
        </w:rPr>
        <w:t xml:space="preserve"> jurisprudence</w:t>
      </w:r>
      <w:r w:rsidR="00351D9F" w:rsidRPr="00F40FBE">
        <w:rPr>
          <w:lang w:val="fr-FR"/>
        </w:rPr>
        <w:t>,</w:t>
      </w:r>
      <w:r w:rsidR="009607CD" w:rsidRPr="00F40FBE">
        <w:rPr>
          <w:lang w:val="fr-FR"/>
        </w:rPr>
        <w:t xml:space="preserve"> la possibilité de recourir au remède Pinto</w:t>
      </w:r>
      <w:r w:rsidR="00315CD5" w:rsidRPr="00F40FBE">
        <w:rPr>
          <w:lang w:val="fr-FR"/>
        </w:rPr>
        <w:t xml:space="preserve"> </w:t>
      </w:r>
      <w:r w:rsidR="00351D9F" w:rsidRPr="00F40FBE">
        <w:rPr>
          <w:lang w:val="fr-FR"/>
        </w:rPr>
        <w:t xml:space="preserve">est limitée </w:t>
      </w:r>
      <w:r w:rsidR="001234C1" w:rsidRPr="00F40FBE">
        <w:rPr>
          <w:lang w:val="fr-FR"/>
        </w:rPr>
        <w:t xml:space="preserve">à la </w:t>
      </w:r>
      <w:r w:rsidR="00315CD5" w:rsidRPr="00F40FBE">
        <w:rPr>
          <w:lang w:val="fr-FR"/>
        </w:rPr>
        <w:t xml:space="preserve">seule contestation </w:t>
      </w:r>
      <w:r w:rsidR="00351D9F" w:rsidRPr="00F40FBE">
        <w:rPr>
          <w:lang w:val="fr-FR"/>
        </w:rPr>
        <w:t>de</w:t>
      </w:r>
      <w:r w:rsidR="009607CD" w:rsidRPr="00F40FBE">
        <w:rPr>
          <w:lang w:val="fr-FR"/>
        </w:rPr>
        <w:t xml:space="preserve"> </w:t>
      </w:r>
      <w:r w:rsidR="00315CD5" w:rsidRPr="00F40FBE">
        <w:rPr>
          <w:lang w:val="fr-FR"/>
        </w:rPr>
        <w:t>la déclaration de cessation de paiements</w:t>
      </w:r>
      <w:r w:rsidR="00736F05" w:rsidRPr="00F40FBE">
        <w:rPr>
          <w:lang w:val="fr-FR"/>
        </w:rPr>
        <w:t xml:space="preserve"> ou à l</w:t>
      </w:r>
      <w:r w:rsidR="00F40FBE" w:rsidRPr="00F40FBE">
        <w:rPr>
          <w:lang w:val="fr-FR"/>
        </w:rPr>
        <w:t>’</w:t>
      </w:r>
      <w:r w:rsidR="00736F05" w:rsidRPr="00F40FBE">
        <w:rPr>
          <w:lang w:val="fr-FR"/>
        </w:rPr>
        <w:t>opposition à la liste de créances</w:t>
      </w:r>
      <w:r w:rsidR="00D51911" w:rsidRPr="00F40FBE">
        <w:rPr>
          <w:lang w:val="fr-FR"/>
        </w:rPr>
        <w:t xml:space="preserve">, </w:t>
      </w:r>
      <w:r w:rsidR="00D96E4F" w:rsidRPr="00F40FBE">
        <w:rPr>
          <w:lang w:val="fr-FR"/>
        </w:rPr>
        <w:t xml:space="preserve">ce qui </w:t>
      </w:r>
      <w:r w:rsidR="00D51911" w:rsidRPr="00F40FBE">
        <w:rPr>
          <w:lang w:val="fr-FR"/>
        </w:rPr>
        <w:t>exclu</w:t>
      </w:r>
      <w:r w:rsidR="00D96E4F" w:rsidRPr="00F40FBE">
        <w:rPr>
          <w:lang w:val="fr-FR"/>
        </w:rPr>
        <w:t>t</w:t>
      </w:r>
      <w:r w:rsidR="00D51911" w:rsidRPr="00F40FBE">
        <w:rPr>
          <w:lang w:val="fr-FR"/>
        </w:rPr>
        <w:t xml:space="preserve"> </w:t>
      </w:r>
      <w:r w:rsidR="00315CD5" w:rsidRPr="00F40FBE">
        <w:rPr>
          <w:lang w:val="fr-FR"/>
        </w:rPr>
        <w:t>ainsi</w:t>
      </w:r>
      <w:r w:rsidR="00A47501" w:rsidRPr="00F40FBE">
        <w:rPr>
          <w:lang w:val="fr-FR"/>
        </w:rPr>
        <w:t xml:space="preserve"> la procédure menée par le commissaire</w:t>
      </w:r>
      <w:r w:rsidR="009607CD" w:rsidRPr="00F40FBE">
        <w:rPr>
          <w:lang w:val="fr-FR"/>
        </w:rPr>
        <w:t>.</w:t>
      </w:r>
    </w:p>
    <w:p w:rsidR="009607CD" w:rsidRPr="00F40FBE" w:rsidRDefault="009607CD"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40</w:t>
      </w:r>
      <w:r w:rsidRPr="00F40FBE">
        <w:rPr>
          <w:lang w:val="fr-FR"/>
        </w:rPr>
        <w:fldChar w:fldCharType="end"/>
      </w:r>
      <w:r w:rsidRPr="00F40FBE">
        <w:rPr>
          <w:lang w:val="fr-FR"/>
        </w:rPr>
        <w:t>.  </w:t>
      </w:r>
      <w:r w:rsidR="00D51911" w:rsidRPr="00F40FBE">
        <w:rPr>
          <w:lang w:val="fr-FR"/>
        </w:rPr>
        <w:t>Dès lors</w:t>
      </w:r>
      <w:r w:rsidRPr="00F40FBE">
        <w:rPr>
          <w:lang w:val="fr-FR"/>
        </w:rPr>
        <w:t>, la Cour considère que le requérant n</w:t>
      </w:r>
      <w:r w:rsidR="00F40FBE" w:rsidRPr="00F40FBE">
        <w:rPr>
          <w:lang w:val="fr-FR"/>
        </w:rPr>
        <w:t>’</w:t>
      </w:r>
      <w:r w:rsidRPr="00F40FBE">
        <w:rPr>
          <w:lang w:val="fr-FR"/>
        </w:rPr>
        <w:t xml:space="preserve">était pas tenu </w:t>
      </w:r>
      <w:r w:rsidR="003F2B36" w:rsidRPr="00F40FBE">
        <w:rPr>
          <w:lang w:val="fr-FR"/>
        </w:rPr>
        <w:t>d</w:t>
      </w:r>
      <w:r w:rsidR="00F40FBE" w:rsidRPr="00F40FBE">
        <w:rPr>
          <w:lang w:val="fr-FR"/>
        </w:rPr>
        <w:t>’</w:t>
      </w:r>
      <w:r w:rsidRPr="00F40FBE">
        <w:rPr>
          <w:lang w:val="fr-FR"/>
        </w:rPr>
        <w:t xml:space="preserve">épuiser la voie de recours représentée par la </w:t>
      </w:r>
      <w:r w:rsidR="00970147" w:rsidRPr="00F40FBE">
        <w:rPr>
          <w:lang w:val="fr-FR"/>
        </w:rPr>
        <w:t>« </w:t>
      </w:r>
      <w:r w:rsidRPr="00F40FBE">
        <w:rPr>
          <w:lang w:val="fr-FR"/>
        </w:rPr>
        <w:t>loi Pinto</w:t>
      </w:r>
      <w:r w:rsidR="00970147" w:rsidRPr="00F40FBE">
        <w:rPr>
          <w:lang w:val="fr-FR"/>
        </w:rPr>
        <w:t> »</w:t>
      </w:r>
      <w:r w:rsidR="00A47501" w:rsidRPr="00F40FBE">
        <w:rPr>
          <w:lang w:val="fr-FR"/>
        </w:rPr>
        <w:t>.</w:t>
      </w:r>
    </w:p>
    <w:p w:rsidR="00506C19" w:rsidRPr="00F40FBE" w:rsidRDefault="00506C19" w:rsidP="00F40FBE">
      <w:pPr>
        <w:pStyle w:val="ECHRHeading3"/>
        <w:rPr>
          <w:lang w:val="fr-FR"/>
        </w:rPr>
      </w:pPr>
      <w:r w:rsidRPr="00F40FBE">
        <w:rPr>
          <w:lang w:val="fr-FR"/>
        </w:rPr>
        <w:t>3.</w:t>
      </w:r>
      <w:r w:rsidR="0058329F" w:rsidRPr="00F40FBE">
        <w:rPr>
          <w:lang w:val="fr-FR"/>
        </w:rPr>
        <w:t>  </w:t>
      </w:r>
      <w:r w:rsidRPr="00F40FBE">
        <w:rPr>
          <w:lang w:val="fr-FR"/>
        </w:rPr>
        <w:t>En conclusion</w:t>
      </w:r>
    </w:p>
    <w:p w:rsidR="00506C19" w:rsidRPr="00F40FBE" w:rsidRDefault="00506C19"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41</w:t>
      </w:r>
      <w:r w:rsidRPr="00F40FBE">
        <w:rPr>
          <w:lang w:val="fr-FR"/>
        </w:rPr>
        <w:fldChar w:fldCharType="end"/>
      </w:r>
      <w:r w:rsidRPr="00F40FBE">
        <w:rPr>
          <w:lang w:val="fr-FR"/>
        </w:rPr>
        <w:t>.  Constatant enfin que ce grief n</w:t>
      </w:r>
      <w:r w:rsidR="00F40FBE" w:rsidRPr="00F40FBE">
        <w:rPr>
          <w:lang w:val="fr-FR"/>
        </w:rPr>
        <w:t>’</w:t>
      </w:r>
      <w:r w:rsidRPr="00F40FBE">
        <w:rPr>
          <w:lang w:val="fr-FR"/>
        </w:rPr>
        <w:t>est pas manifestement mal fondé au sens de l</w:t>
      </w:r>
      <w:r w:rsidR="00F40FBE" w:rsidRPr="00F40FBE">
        <w:rPr>
          <w:lang w:val="fr-FR"/>
        </w:rPr>
        <w:t>’</w:t>
      </w:r>
      <w:r w:rsidRPr="00F40FBE">
        <w:rPr>
          <w:lang w:val="fr-FR"/>
        </w:rPr>
        <w:t>article 35 § 3 a) de la Convention et qu</w:t>
      </w:r>
      <w:r w:rsidR="00F40FBE" w:rsidRPr="00F40FBE">
        <w:rPr>
          <w:lang w:val="fr-FR"/>
        </w:rPr>
        <w:t>’</w:t>
      </w:r>
      <w:r w:rsidRPr="00F40FBE">
        <w:rPr>
          <w:lang w:val="fr-FR"/>
        </w:rPr>
        <w:t>il ne se heurte par ailleurs à aucun autre motif d</w:t>
      </w:r>
      <w:r w:rsidR="00F40FBE" w:rsidRPr="00F40FBE">
        <w:rPr>
          <w:lang w:val="fr-FR"/>
        </w:rPr>
        <w:t>’</w:t>
      </w:r>
      <w:r w:rsidRPr="00F40FBE">
        <w:rPr>
          <w:lang w:val="fr-FR"/>
        </w:rPr>
        <w:t>irrecevabilité, la Cour le déclare recevable.</w:t>
      </w:r>
    </w:p>
    <w:p w:rsidR="00337C22" w:rsidRPr="00F40FBE" w:rsidRDefault="00F84635" w:rsidP="00F40FBE">
      <w:pPr>
        <w:pStyle w:val="ECHRHeading2"/>
        <w:rPr>
          <w:lang w:val="fr-FR"/>
        </w:rPr>
      </w:pPr>
      <w:r w:rsidRPr="00F40FBE">
        <w:rPr>
          <w:lang w:val="fr-FR"/>
        </w:rPr>
        <w:t>B.  Sur le fond</w:t>
      </w:r>
    </w:p>
    <w:p w:rsidR="0071109E"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42</w:t>
      </w:r>
      <w:r w:rsidRPr="00F40FBE">
        <w:rPr>
          <w:lang w:val="fr-FR"/>
        </w:rPr>
        <w:fldChar w:fldCharType="end"/>
      </w:r>
      <w:r w:rsidR="00F84635" w:rsidRPr="00F40FBE">
        <w:rPr>
          <w:lang w:val="fr-FR"/>
        </w:rPr>
        <w:t>.  </w:t>
      </w:r>
      <w:r w:rsidRPr="00F40FBE">
        <w:rPr>
          <w:lang w:val="fr-FR"/>
        </w:rPr>
        <w:t>La Cour rappelle que le caractère raisonnable de la durée d</w:t>
      </w:r>
      <w:r w:rsidR="00F40FBE" w:rsidRPr="00F40FBE">
        <w:rPr>
          <w:lang w:val="fr-FR"/>
        </w:rPr>
        <w:t>’</w:t>
      </w:r>
      <w:r w:rsidRPr="00F40FBE">
        <w:rPr>
          <w:lang w:val="fr-FR"/>
        </w:rPr>
        <w:t>une procédure s</w:t>
      </w:r>
      <w:r w:rsidR="00F40FBE" w:rsidRPr="00F40FBE">
        <w:rPr>
          <w:lang w:val="fr-FR"/>
        </w:rPr>
        <w:t>’</w:t>
      </w:r>
      <w:r w:rsidRPr="00F40FBE">
        <w:rPr>
          <w:lang w:val="fr-FR"/>
        </w:rPr>
        <w:t>apprécie suivant les circonstances de la cause et eu égard aux critères consacrés par sa jurisprudence, en particulier la complexité de l</w:t>
      </w:r>
      <w:r w:rsidR="00F40FBE" w:rsidRPr="00F40FBE">
        <w:rPr>
          <w:lang w:val="fr-FR"/>
        </w:rPr>
        <w:t>’</w:t>
      </w:r>
      <w:r w:rsidRPr="00F40FBE">
        <w:rPr>
          <w:lang w:val="fr-FR"/>
        </w:rPr>
        <w:t>affaire, le comportement du requérant et celui des autorités compétentes ainsi que l</w:t>
      </w:r>
      <w:r w:rsidR="00F40FBE" w:rsidRPr="00F40FBE">
        <w:rPr>
          <w:lang w:val="fr-FR"/>
        </w:rPr>
        <w:t>’</w:t>
      </w:r>
      <w:r w:rsidRPr="00F40FBE">
        <w:rPr>
          <w:lang w:val="fr-FR"/>
        </w:rPr>
        <w:t>enjeu du litige pour les intéressés (voir, parmi beaucoup d</w:t>
      </w:r>
      <w:r w:rsidR="00F40FBE" w:rsidRPr="00F40FBE">
        <w:rPr>
          <w:lang w:val="fr-FR"/>
        </w:rPr>
        <w:t>’</w:t>
      </w:r>
      <w:r w:rsidRPr="00F40FBE">
        <w:rPr>
          <w:lang w:val="fr-FR"/>
        </w:rPr>
        <w:t xml:space="preserve">autres, </w:t>
      </w:r>
      <w:r w:rsidR="00042114" w:rsidRPr="00F40FBE">
        <w:rPr>
          <w:i/>
          <w:lang w:val="fr-FR"/>
        </w:rPr>
        <w:t>Cocchiarella c. Italie</w:t>
      </w:r>
      <w:r w:rsidR="00042114" w:rsidRPr="00F40FBE">
        <w:rPr>
          <w:lang w:val="fr-FR"/>
        </w:rPr>
        <w:t xml:space="preserve"> [GC], n</w:t>
      </w:r>
      <w:r w:rsidR="00042114" w:rsidRPr="00F40FBE">
        <w:rPr>
          <w:vertAlign w:val="superscript"/>
          <w:lang w:val="fr-FR"/>
        </w:rPr>
        <w:t>o</w:t>
      </w:r>
      <w:r w:rsidR="00042114" w:rsidRPr="00F40FBE">
        <w:rPr>
          <w:lang w:val="fr-FR"/>
        </w:rPr>
        <w:t xml:space="preserve"> 64886/01, § 68, CEDH 2006</w:t>
      </w:r>
      <w:r w:rsidR="00042114" w:rsidRPr="00F40FBE">
        <w:rPr>
          <w:lang w:val="fr-FR"/>
        </w:rPr>
        <w:noBreakHyphen/>
        <w:t>V).</w:t>
      </w:r>
    </w:p>
    <w:p w:rsidR="00EE3D89" w:rsidRPr="00F40FBE" w:rsidRDefault="005A1F59"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43</w:t>
      </w:r>
      <w:r w:rsidRPr="00F40FBE">
        <w:rPr>
          <w:lang w:val="fr-FR"/>
        </w:rPr>
        <w:fldChar w:fldCharType="end"/>
      </w:r>
      <w:r w:rsidRPr="00F40FBE">
        <w:rPr>
          <w:lang w:val="fr-FR"/>
        </w:rPr>
        <w:t>.  </w:t>
      </w:r>
      <w:r w:rsidR="003E3C2F" w:rsidRPr="00F40FBE">
        <w:rPr>
          <w:lang w:val="fr-FR"/>
        </w:rPr>
        <w:t>E</w:t>
      </w:r>
      <w:r w:rsidR="002214B2" w:rsidRPr="00F40FBE">
        <w:rPr>
          <w:lang w:val="fr-FR"/>
        </w:rPr>
        <w:t>n l</w:t>
      </w:r>
      <w:r w:rsidR="00F40FBE" w:rsidRPr="00F40FBE">
        <w:rPr>
          <w:lang w:val="fr-FR"/>
        </w:rPr>
        <w:t>’</w:t>
      </w:r>
      <w:r w:rsidR="000B2E60" w:rsidRPr="00F40FBE">
        <w:rPr>
          <w:lang w:val="fr-FR"/>
        </w:rPr>
        <w:t>espèce</w:t>
      </w:r>
      <w:r w:rsidR="003E3C2F" w:rsidRPr="00F40FBE">
        <w:rPr>
          <w:lang w:val="fr-FR"/>
        </w:rPr>
        <w:t>,</w:t>
      </w:r>
      <w:r w:rsidR="00A469CA" w:rsidRPr="00F40FBE">
        <w:rPr>
          <w:lang w:val="fr-FR"/>
        </w:rPr>
        <w:t xml:space="preserve"> </w:t>
      </w:r>
      <w:r w:rsidR="000B2E60" w:rsidRPr="00F40FBE">
        <w:rPr>
          <w:lang w:val="fr-FR"/>
        </w:rPr>
        <w:t xml:space="preserve">la Cour note que </w:t>
      </w:r>
      <w:r w:rsidR="00A95AE7" w:rsidRPr="00F40FBE">
        <w:rPr>
          <w:lang w:val="fr-FR"/>
        </w:rPr>
        <w:t xml:space="preserve">la procédure a </w:t>
      </w:r>
      <w:r w:rsidR="00A47501" w:rsidRPr="00F40FBE">
        <w:rPr>
          <w:lang w:val="fr-FR"/>
        </w:rPr>
        <w:t>débuté</w:t>
      </w:r>
      <w:r w:rsidR="00A95AE7" w:rsidRPr="00F40FBE">
        <w:rPr>
          <w:lang w:val="fr-FR"/>
        </w:rPr>
        <w:t xml:space="preserve"> le </w:t>
      </w:r>
      <w:r w:rsidR="00D51911" w:rsidRPr="00F40FBE">
        <w:rPr>
          <w:lang w:val="fr-FR"/>
        </w:rPr>
        <w:t>4 juillet 1985</w:t>
      </w:r>
      <w:r w:rsidR="00A95AE7" w:rsidRPr="00F40FBE">
        <w:rPr>
          <w:lang w:val="fr-FR"/>
        </w:rPr>
        <w:t xml:space="preserve">, date à laquelle le </w:t>
      </w:r>
      <w:r w:rsidR="00D51911" w:rsidRPr="00F40FBE">
        <w:rPr>
          <w:lang w:val="fr-FR"/>
        </w:rPr>
        <w:t xml:space="preserve">requérant a adressé </w:t>
      </w:r>
      <w:r w:rsidR="001234C1" w:rsidRPr="00F40FBE">
        <w:rPr>
          <w:lang w:val="fr-FR"/>
        </w:rPr>
        <w:t xml:space="preserve">au commissaire </w:t>
      </w:r>
      <w:r w:rsidR="002F490C" w:rsidRPr="00F40FBE">
        <w:rPr>
          <w:lang w:val="fr-FR"/>
        </w:rPr>
        <w:t>l</w:t>
      </w:r>
      <w:r w:rsidR="00D51911" w:rsidRPr="00F40FBE">
        <w:rPr>
          <w:lang w:val="fr-FR"/>
        </w:rPr>
        <w:t xml:space="preserve">a demande </w:t>
      </w:r>
      <w:r w:rsidR="001234C1" w:rsidRPr="00F40FBE">
        <w:rPr>
          <w:lang w:val="fr-FR"/>
        </w:rPr>
        <w:t>visant l</w:t>
      </w:r>
      <w:r w:rsidR="00F40FBE" w:rsidRPr="00F40FBE">
        <w:rPr>
          <w:lang w:val="fr-FR"/>
        </w:rPr>
        <w:t>’</w:t>
      </w:r>
      <w:r w:rsidR="002F490C" w:rsidRPr="00F40FBE">
        <w:rPr>
          <w:lang w:val="fr-FR"/>
        </w:rPr>
        <w:t>admission de sa créance</w:t>
      </w:r>
      <w:r w:rsidR="00A95AE7" w:rsidRPr="00F40FBE">
        <w:rPr>
          <w:lang w:val="fr-FR"/>
        </w:rPr>
        <w:t xml:space="preserve">. </w:t>
      </w:r>
      <w:r w:rsidR="00315CD5" w:rsidRPr="00F40FBE">
        <w:rPr>
          <w:lang w:val="fr-FR"/>
        </w:rPr>
        <w:t xml:space="preserve">Elle </w:t>
      </w:r>
      <w:r w:rsidR="000B2E60" w:rsidRPr="00F40FBE">
        <w:rPr>
          <w:lang w:val="fr-FR"/>
        </w:rPr>
        <w:t xml:space="preserve">relève </w:t>
      </w:r>
      <w:r w:rsidR="00315CD5" w:rsidRPr="00F40FBE">
        <w:rPr>
          <w:lang w:val="fr-FR"/>
        </w:rPr>
        <w:t>que</w:t>
      </w:r>
      <w:r w:rsidR="004B1898" w:rsidRPr="00F40FBE">
        <w:rPr>
          <w:lang w:val="fr-FR"/>
        </w:rPr>
        <w:t xml:space="preserve"> la liquidation des actifs composant le patrimoine de la société débitrice</w:t>
      </w:r>
      <w:r w:rsidR="00315CD5" w:rsidRPr="00F40FBE">
        <w:rPr>
          <w:lang w:val="fr-FR"/>
        </w:rPr>
        <w:t xml:space="preserve"> était encore pendante</w:t>
      </w:r>
      <w:r w:rsidR="004B1898" w:rsidRPr="00F40FBE">
        <w:rPr>
          <w:lang w:val="fr-FR"/>
        </w:rPr>
        <w:t xml:space="preserve"> à la date des dernières informations fournies par le requérant (à savoir le 24</w:t>
      </w:r>
      <w:r w:rsidR="00920445" w:rsidRPr="00F40FBE">
        <w:rPr>
          <w:lang w:val="fr-FR"/>
        </w:rPr>
        <w:t> </w:t>
      </w:r>
      <w:r w:rsidR="004B1898" w:rsidRPr="00F40FBE">
        <w:rPr>
          <w:lang w:val="fr-FR"/>
        </w:rPr>
        <w:t xml:space="preserve">décembre 2010 </w:t>
      </w:r>
      <w:r w:rsidR="00893FBC" w:rsidRPr="00F40FBE">
        <w:rPr>
          <w:lang w:val="fr-FR"/>
        </w:rPr>
        <w:t>-</w:t>
      </w:r>
      <w:r w:rsidR="004B1898" w:rsidRPr="00F40FBE">
        <w:rPr>
          <w:lang w:val="fr-FR"/>
        </w:rPr>
        <w:t xml:space="preserve"> paragraphe </w:t>
      </w:r>
      <w:r w:rsidR="004B1898" w:rsidRPr="00F40FBE">
        <w:rPr>
          <w:lang w:val="fr-FR"/>
        </w:rPr>
        <w:fldChar w:fldCharType="begin"/>
      </w:r>
      <w:r w:rsidR="004B1898" w:rsidRPr="00F40FBE">
        <w:rPr>
          <w:lang w:val="fr-FR"/>
        </w:rPr>
        <w:instrText xml:space="preserve"> REF Informations_observations_requérant \h </w:instrText>
      </w:r>
      <w:r w:rsidR="00D21833" w:rsidRPr="00F40FBE">
        <w:rPr>
          <w:lang w:val="fr-FR"/>
        </w:rPr>
        <w:instrText xml:space="preserve"> \* MERGEFORMAT </w:instrText>
      </w:r>
      <w:r w:rsidR="004B1898" w:rsidRPr="00F40FBE">
        <w:rPr>
          <w:lang w:val="fr-FR"/>
        </w:rPr>
      </w:r>
      <w:r w:rsidR="004B1898" w:rsidRPr="00F40FBE">
        <w:rPr>
          <w:lang w:val="fr-FR"/>
        </w:rPr>
        <w:fldChar w:fldCharType="separate"/>
      </w:r>
      <w:r w:rsidR="00F40FBE" w:rsidRPr="00F40FBE">
        <w:rPr>
          <w:noProof/>
          <w:lang w:val="fr-FR"/>
        </w:rPr>
        <w:t>11</w:t>
      </w:r>
      <w:r w:rsidR="004B1898" w:rsidRPr="00F40FBE">
        <w:rPr>
          <w:lang w:val="fr-FR"/>
        </w:rPr>
        <w:fldChar w:fldCharType="end"/>
      </w:r>
      <w:r w:rsidR="004B1898" w:rsidRPr="00F40FBE">
        <w:rPr>
          <w:lang w:val="fr-FR"/>
        </w:rPr>
        <w:t xml:space="preserve"> ci-dessus). </w:t>
      </w:r>
      <w:r w:rsidR="003E3C2F" w:rsidRPr="00F40FBE">
        <w:rPr>
          <w:lang w:val="fr-FR"/>
        </w:rPr>
        <w:t>À cette date, la</w:t>
      </w:r>
      <w:r w:rsidR="004B1898" w:rsidRPr="00F40FBE">
        <w:rPr>
          <w:lang w:val="fr-FR"/>
        </w:rPr>
        <w:t xml:space="preserve"> procédure a</w:t>
      </w:r>
      <w:r w:rsidR="003E3C2F" w:rsidRPr="00F40FBE">
        <w:rPr>
          <w:lang w:val="fr-FR"/>
        </w:rPr>
        <w:t>vait</w:t>
      </w:r>
      <w:r w:rsidR="004B1898" w:rsidRPr="00F40FBE">
        <w:rPr>
          <w:lang w:val="fr-FR"/>
        </w:rPr>
        <w:t xml:space="preserve"> donc duré globalement près de </w:t>
      </w:r>
      <w:r w:rsidR="000B2E60" w:rsidRPr="00F40FBE">
        <w:rPr>
          <w:lang w:val="fr-FR"/>
        </w:rPr>
        <w:t xml:space="preserve">vingt-cinq </w:t>
      </w:r>
      <w:r w:rsidR="004B1898" w:rsidRPr="00F40FBE">
        <w:rPr>
          <w:lang w:val="fr-FR"/>
        </w:rPr>
        <w:t xml:space="preserve">ans et </w:t>
      </w:r>
      <w:r w:rsidR="000B2E60" w:rsidRPr="00F40FBE">
        <w:rPr>
          <w:lang w:val="fr-FR"/>
        </w:rPr>
        <w:t xml:space="preserve">six </w:t>
      </w:r>
      <w:r w:rsidR="004B1898" w:rsidRPr="00F40FBE">
        <w:rPr>
          <w:lang w:val="fr-FR"/>
        </w:rPr>
        <w:t>mois.</w:t>
      </w:r>
      <w:r w:rsidR="00680164" w:rsidRPr="00F40FBE">
        <w:rPr>
          <w:lang w:val="fr-FR"/>
        </w:rPr>
        <w:t xml:space="preserve"> Après avoir examiné tous les éléments qui lui ont été soumis, la Cour constate que la procédure en question a été particulièrement complexe, s</w:t>
      </w:r>
      <w:r w:rsidR="00F40FBE" w:rsidRPr="00F40FBE">
        <w:rPr>
          <w:lang w:val="fr-FR"/>
        </w:rPr>
        <w:t>’</w:t>
      </w:r>
      <w:r w:rsidR="00680164" w:rsidRPr="00F40FBE">
        <w:rPr>
          <w:lang w:val="fr-FR"/>
        </w:rPr>
        <w:t>agissant notamment du recensement de l</w:t>
      </w:r>
      <w:r w:rsidR="00F40FBE" w:rsidRPr="00F40FBE">
        <w:rPr>
          <w:lang w:val="fr-FR"/>
        </w:rPr>
        <w:t>’</w:t>
      </w:r>
      <w:r w:rsidR="00680164" w:rsidRPr="00F40FBE">
        <w:rPr>
          <w:lang w:val="fr-FR"/>
        </w:rPr>
        <w:t>activité économique de la société et de la transformation de chaque créance en liquidité par voie de vente ou de recouvrement. Néanmoins, elle considère que le Gouvernement n</w:t>
      </w:r>
      <w:r w:rsidR="00F40FBE" w:rsidRPr="00F40FBE">
        <w:rPr>
          <w:lang w:val="fr-FR"/>
        </w:rPr>
        <w:t>’</w:t>
      </w:r>
      <w:r w:rsidR="00680164" w:rsidRPr="00F40FBE">
        <w:rPr>
          <w:lang w:val="fr-FR"/>
        </w:rPr>
        <w:t xml:space="preserve">a exposé aucun fait ni argument convaincant pouvant </w:t>
      </w:r>
      <w:r w:rsidR="00E15B05" w:rsidRPr="00F40FBE">
        <w:rPr>
          <w:lang w:val="fr-FR"/>
        </w:rPr>
        <w:t>justifier une telle durée</w:t>
      </w:r>
      <w:r w:rsidR="00680164" w:rsidRPr="00F40FBE">
        <w:rPr>
          <w:lang w:val="fr-FR"/>
        </w:rPr>
        <w:t>.</w:t>
      </w:r>
    </w:p>
    <w:p w:rsidR="009F274C" w:rsidRPr="00F40FBE" w:rsidRDefault="00563D75" w:rsidP="00F40FBE">
      <w:pPr>
        <w:pStyle w:val="ECHRPara"/>
        <w:rPr>
          <w:lang w:val="fr-FR"/>
        </w:rPr>
      </w:pPr>
      <w:r w:rsidRPr="00F40FBE">
        <w:rPr>
          <w:lang w:val="fr-FR"/>
        </w:rPr>
        <w:lastRenderedPageBreak/>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44</w:t>
      </w:r>
      <w:r w:rsidRPr="00F40FBE">
        <w:rPr>
          <w:lang w:val="fr-FR"/>
        </w:rPr>
        <w:fldChar w:fldCharType="end"/>
      </w:r>
      <w:r w:rsidRPr="00F40FBE">
        <w:rPr>
          <w:lang w:val="fr-FR"/>
        </w:rPr>
        <w:t>.  </w:t>
      </w:r>
      <w:r w:rsidR="00E15B05" w:rsidRPr="00F40FBE">
        <w:rPr>
          <w:lang w:val="fr-FR"/>
        </w:rPr>
        <w:t>Partant</w:t>
      </w:r>
      <w:r w:rsidR="00680164" w:rsidRPr="00F40FBE">
        <w:rPr>
          <w:lang w:val="fr-FR"/>
        </w:rPr>
        <w:t>, t</w:t>
      </w:r>
      <w:r w:rsidR="00D75D76" w:rsidRPr="00F40FBE">
        <w:rPr>
          <w:lang w:val="fr-FR"/>
        </w:rPr>
        <w:t xml:space="preserve">out en </w:t>
      </w:r>
      <w:r w:rsidR="00733688" w:rsidRPr="00F40FBE">
        <w:rPr>
          <w:lang w:val="fr-FR"/>
        </w:rPr>
        <w:t>reconnaissant</w:t>
      </w:r>
      <w:r w:rsidR="00D75D76" w:rsidRPr="00F40FBE">
        <w:rPr>
          <w:lang w:val="fr-FR"/>
        </w:rPr>
        <w:t xml:space="preserve"> </w:t>
      </w:r>
      <w:r w:rsidR="00315CD5" w:rsidRPr="00F40FBE">
        <w:rPr>
          <w:lang w:val="fr-FR"/>
        </w:rPr>
        <w:t>en l</w:t>
      </w:r>
      <w:r w:rsidR="00F40FBE" w:rsidRPr="00F40FBE">
        <w:rPr>
          <w:lang w:val="fr-FR"/>
        </w:rPr>
        <w:t>’</w:t>
      </w:r>
      <w:r w:rsidR="00315CD5" w:rsidRPr="00F40FBE">
        <w:rPr>
          <w:lang w:val="fr-FR"/>
        </w:rPr>
        <w:t xml:space="preserve">occurrence </w:t>
      </w:r>
      <w:r w:rsidR="00275A76" w:rsidRPr="00F40FBE">
        <w:rPr>
          <w:lang w:val="fr-FR"/>
        </w:rPr>
        <w:t xml:space="preserve">la </w:t>
      </w:r>
      <w:r w:rsidR="00D75D76" w:rsidRPr="00F40FBE">
        <w:rPr>
          <w:lang w:val="fr-FR"/>
        </w:rPr>
        <w:t>complexité de</w:t>
      </w:r>
      <w:r w:rsidR="005C36D1" w:rsidRPr="00F40FBE">
        <w:rPr>
          <w:lang w:val="fr-FR"/>
        </w:rPr>
        <w:t>s procédures en matière de faillite</w:t>
      </w:r>
      <w:r w:rsidR="00D75D76" w:rsidRPr="00F40FBE">
        <w:rPr>
          <w:lang w:val="fr-FR"/>
        </w:rPr>
        <w:t>,</w:t>
      </w:r>
      <w:r w:rsidR="00275A76" w:rsidRPr="00F40FBE">
        <w:rPr>
          <w:lang w:val="fr-FR"/>
        </w:rPr>
        <w:t xml:space="preserve"> </w:t>
      </w:r>
      <w:r w:rsidR="009F274C" w:rsidRPr="00F40FBE">
        <w:rPr>
          <w:lang w:val="fr-FR"/>
        </w:rPr>
        <w:t>la Cour estime qu</w:t>
      </w:r>
      <w:r w:rsidR="00315CD5" w:rsidRPr="00F40FBE">
        <w:rPr>
          <w:lang w:val="fr-FR"/>
        </w:rPr>
        <w:t>e</w:t>
      </w:r>
      <w:r w:rsidR="009F274C" w:rsidRPr="00F40FBE">
        <w:rPr>
          <w:lang w:val="fr-FR"/>
        </w:rPr>
        <w:t xml:space="preserve"> la durée litigieuse est excessive et </w:t>
      </w:r>
      <w:r w:rsidR="00B827B2" w:rsidRPr="00F40FBE">
        <w:rPr>
          <w:lang w:val="fr-FR"/>
        </w:rPr>
        <w:t>qu</w:t>
      </w:r>
      <w:r w:rsidR="00F40FBE" w:rsidRPr="00F40FBE">
        <w:rPr>
          <w:lang w:val="fr-FR"/>
        </w:rPr>
        <w:t>’</w:t>
      </w:r>
      <w:r w:rsidR="00B827B2" w:rsidRPr="00F40FBE">
        <w:rPr>
          <w:lang w:val="fr-FR"/>
        </w:rPr>
        <w:t xml:space="preserve">elle </w:t>
      </w:r>
      <w:r w:rsidR="009F274C" w:rsidRPr="00F40FBE">
        <w:rPr>
          <w:lang w:val="fr-FR"/>
        </w:rPr>
        <w:t>n</w:t>
      </w:r>
      <w:r w:rsidR="00F40FBE" w:rsidRPr="00F40FBE">
        <w:rPr>
          <w:lang w:val="fr-FR"/>
        </w:rPr>
        <w:t>’</w:t>
      </w:r>
      <w:r w:rsidR="00B827B2" w:rsidRPr="00F40FBE">
        <w:rPr>
          <w:lang w:val="fr-FR"/>
        </w:rPr>
        <w:t>a pas</w:t>
      </w:r>
      <w:r w:rsidR="009F274C" w:rsidRPr="00F40FBE">
        <w:rPr>
          <w:lang w:val="fr-FR"/>
        </w:rPr>
        <w:t xml:space="preserve"> répon</w:t>
      </w:r>
      <w:r w:rsidR="00B827B2" w:rsidRPr="00F40FBE">
        <w:rPr>
          <w:lang w:val="fr-FR"/>
        </w:rPr>
        <w:t>du</w:t>
      </w:r>
      <w:r w:rsidR="009F274C" w:rsidRPr="00F40FBE">
        <w:rPr>
          <w:lang w:val="fr-FR"/>
        </w:rPr>
        <w:t xml:space="preserve"> à l</w:t>
      </w:r>
      <w:r w:rsidR="00F40FBE" w:rsidRPr="00F40FBE">
        <w:rPr>
          <w:lang w:val="fr-FR"/>
        </w:rPr>
        <w:t>’</w:t>
      </w:r>
      <w:r w:rsidR="009F274C" w:rsidRPr="00F40FBE">
        <w:rPr>
          <w:lang w:val="fr-FR"/>
        </w:rPr>
        <w:t>exigence du « délai raisonnable »</w:t>
      </w:r>
      <w:r w:rsidR="00FA1124" w:rsidRPr="00F40FBE">
        <w:rPr>
          <w:lang w:val="fr-FR"/>
        </w:rPr>
        <w:t xml:space="preserve"> au sens de l</w:t>
      </w:r>
      <w:r w:rsidR="00F40FBE" w:rsidRPr="00F40FBE">
        <w:rPr>
          <w:lang w:val="fr-FR"/>
        </w:rPr>
        <w:t>’</w:t>
      </w:r>
      <w:r w:rsidR="00FA1124" w:rsidRPr="00F40FBE">
        <w:rPr>
          <w:lang w:val="fr-FR"/>
        </w:rPr>
        <w:t>article 6 § 1 de la Convention</w:t>
      </w:r>
      <w:r w:rsidR="009F274C" w:rsidRPr="00F40FBE">
        <w:rPr>
          <w:lang w:val="fr-FR"/>
        </w:rPr>
        <w:t xml:space="preserve"> (voir</w:t>
      </w:r>
      <w:r w:rsidR="00D227FB" w:rsidRPr="00F40FBE">
        <w:rPr>
          <w:lang w:val="fr-FR"/>
        </w:rPr>
        <w:t>, en matière de faillite,</w:t>
      </w:r>
      <w:r w:rsidR="009F274C" w:rsidRPr="00F40FBE">
        <w:rPr>
          <w:lang w:val="fr-FR"/>
        </w:rPr>
        <w:t xml:space="preserve"> </w:t>
      </w:r>
      <w:r w:rsidR="009F274C" w:rsidRPr="00F40FBE">
        <w:rPr>
          <w:i/>
          <w:lang w:val="fr-FR"/>
        </w:rPr>
        <w:t>De Blasi c. Italie</w:t>
      </w:r>
      <w:r w:rsidR="009F274C" w:rsidRPr="00F40FBE">
        <w:rPr>
          <w:lang w:val="fr-FR"/>
        </w:rPr>
        <w:t>, n</w:t>
      </w:r>
      <w:r w:rsidR="00927822" w:rsidRPr="00F40FBE">
        <w:rPr>
          <w:vertAlign w:val="superscript"/>
          <w:lang w:val="fr-FR"/>
        </w:rPr>
        <w:t>o</w:t>
      </w:r>
      <w:r w:rsidR="009F274C" w:rsidRPr="00F40FBE">
        <w:rPr>
          <w:lang w:val="fr-FR"/>
        </w:rPr>
        <w:t xml:space="preserve"> 1595/02, §§</w:t>
      </w:r>
      <w:r w:rsidR="00052978" w:rsidRPr="00F40FBE">
        <w:rPr>
          <w:lang w:val="fr-FR"/>
        </w:rPr>
        <w:t> </w:t>
      </w:r>
      <w:r w:rsidR="009F274C" w:rsidRPr="00F40FBE">
        <w:rPr>
          <w:lang w:val="fr-FR"/>
        </w:rPr>
        <w:t xml:space="preserve">19-35, 5 octobre 2006, </w:t>
      </w:r>
      <w:r w:rsidR="00351D9F" w:rsidRPr="00F40FBE">
        <w:rPr>
          <w:i/>
          <w:lang w:val="fr-FR"/>
        </w:rPr>
        <w:t>Gallucci c. </w:t>
      </w:r>
      <w:r w:rsidR="009F274C" w:rsidRPr="00F40FBE">
        <w:rPr>
          <w:i/>
          <w:lang w:val="fr-FR"/>
        </w:rPr>
        <w:t>Italie</w:t>
      </w:r>
      <w:r w:rsidR="009F274C" w:rsidRPr="00F40FBE">
        <w:rPr>
          <w:lang w:val="fr-FR"/>
        </w:rPr>
        <w:t>, n</w:t>
      </w:r>
      <w:r w:rsidR="00927822" w:rsidRPr="00F40FBE">
        <w:rPr>
          <w:vertAlign w:val="superscript"/>
          <w:lang w:val="fr-FR"/>
        </w:rPr>
        <w:t>o</w:t>
      </w:r>
      <w:r w:rsidR="00337C22" w:rsidRPr="00F40FBE">
        <w:rPr>
          <w:lang w:val="fr-FR"/>
        </w:rPr>
        <w:t> </w:t>
      </w:r>
      <w:r w:rsidR="009F274C" w:rsidRPr="00F40FBE">
        <w:rPr>
          <w:lang w:val="fr-FR"/>
        </w:rPr>
        <w:t>10756/02, §§ 22-30, 12 juin 2007</w:t>
      </w:r>
      <w:r w:rsidR="00D227FB" w:rsidRPr="00F40FBE">
        <w:rPr>
          <w:lang w:val="fr-FR"/>
        </w:rPr>
        <w:t xml:space="preserve">, </w:t>
      </w:r>
      <w:r w:rsidR="00B827B2" w:rsidRPr="00F40FBE">
        <w:rPr>
          <w:lang w:val="fr-FR"/>
        </w:rPr>
        <w:t xml:space="preserve">et </w:t>
      </w:r>
      <w:r w:rsidR="00D227FB" w:rsidRPr="00F40FBE">
        <w:rPr>
          <w:i/>
          <w:lang w:val="fr-FR"/>
        </w:rPr>
        <w:t>Viola et autres c. Italie</w:t>
      </w:r>
      <w:r w:rsidR="00D227FB" w:rsidRPr="00F40FBE">
        <w:rPr>
          <w:lang w:val="fr-FR"/>
        </w:rPr>
        <w:t>, n</w:t>
      </w:r>
      <w:r w:rsidR="00D227FB" w:rsidRPr="00F40FBE">
        <w:rPr>
          <w:vertAlign w:val="superscript"/>
          <w:lang w:val="fr-FR"/>
        </w:rPr>
        <w:t>o</w:t>
      </w:r>
      <w:r w:rsidR="00351D9F" w:rsidRPr="00F40FBE">
        <w:rPr>
          <w:vertAlign w:val="superscript"/>
          <w:lang w:val="fr-FR"/>
        </w:rPr>
        <w:t> </w:t>
      </w:r>
      <w:r w:rsidR="00D227FB" w:rsidRPr="00F40FBE">
        <w:rPr>
          <w:lang w:val="fr-FR"/>
        </w:rPr>
        <w:t>7842/02, §§ 58-63, 8 janvier 2008</w:t>
      </w:r>
      <w:r w:rsidR="009F274C" w:rsidRPr="00F40FBE">
        <w:rPr>
          <w:lang w:val="fr-FR"/>
        </w:rPr>
        <w:t>).</w:t>
      </w:r>
    </w:p>
    <w:p w:rsidR="00351D9F" w:rsidRPr="00F40FBE" w:rsidRDefault="00FA112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45</w:t>
      </w:r>
      <w:r w:rsidRPr="00F40FBE">
        <w:rPr>
          <w:lang w:val="fr-FR"/>
        </w:rPr>
        <w:fldChar w:fldCharType="end"/>
      </w:r>
      <w:r w:rsidRPr="00F40FBE">
        <w:rPr>
          <w:lang w:val="fr-FR"/>
        </w:rPr>
        <w:t>.  </w:t>
      </w:r>
      <w:r w:rsidR="00F84635" w:rsidRPr="00F40FBE">
        <w:rPr>
          <w:lang w:val="fr-FR"/>
        </w:rPr>
        <w:t>Partant, il y a eu violation de l</w:t>
      </w:r>
      <w:r w:rsidR="00F40FBE" w:rsidRPr="00F40FBE">
        <w:rPr>
          <w:lang w:val="fr-FR"/>
        </w:rPr>
        <w:t>’</w:t>
      </w:r>
      <w:r w:rsidR="00F84635" w:rsidRPr="00F40FBE">
        <w:rPr>
          <w:lang w:val="fr-FR"/>
        </w:rPr>
        <w:t>article 6 § 1</w:t>
      </w:r>
      <w:r w:rsidR="00EF59D9" w:rsidRPr="00F40FBE">
        <w:rPr>
          <w:lang w:val="fr-FR"/>
        </w:rPr>
        <w:t xml:space="preserve"> de la Convention</w:t>
      </w:r>
      <w:r w:rsidR="00F84635" w:rsidRPr="00F40FBE">
        <w:rPr>
          <w:lang w:val="fr-FR"/>
        </w:rPr>
        <w:t>.</w:t>
      </w:r>
    </w:p>
    <w:p w:rsidR="003F2FC4" w:rsidRPr="00F40FBE" w:rsidRDefault="003F2FC4" w:rsidP="00F40FBE">
      <w:pPr>
        <w:pStyle w:val="ECHRHeading1"/>
        <w:rPr>
          <w:lang w:val="fr-FR"/>
        </w:rPr>
      </w:pPr>
      <w:r w:rsidRPr="00F40FBE">
        <w:rPr>
          <w:lang w:val="fr-FR"/>
        </w:rPr>
        <w:t>I</w:t>
      </w:r>
      <w:r w:rsidR="0045155D" w:rsidRPr="00F40FBE">
        <w:rPr>
          <w:lang w:val="fr-FR"/>
        </w:rPr>
        <w:t>I</w:t>
      </w:r>
      <w:r w:rsidRPr="00F40FBE">
        <w:rPr>
          <w:lang w:val="fr-FR"/>
        </w:rPr>
        <w:t>.  SUR LA VIOLATION ALLÉGUÉE DE L</w:t>
      </w:r>
      <w:r w:rsidR="00F40FBE" w:rsidRPr="00F40FBE">
        <w:rPr>
          <w:lang w:val="fr-FR"/>
        </w:rPr>
        <w:t>’</w:t>
      </w:r>
      <w:r w:rsidRPr="00F40FBE">
        <w:rPr>
          <w:lang w:val="fr-FR"/>
        </w:rPr>
        <w:t>ARTICLE 13 DE LA CONVENTION</w:t>
      </w:r>
    </w:p>
    <w:p w:rsidR="003F2FC4"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46</w:t>
      </w:r>
      <w:r w:rsidRPr="00F40FBE">
        <w:rPr>
          <w:lang w:val="fr-FR"/>
        </w:rPr>
        <w:fldChar w:fldCharType="end"/>
      </w:r>
      <w:r w:rsidRPr="00F40FBE">
        <w:rPr>
          <w:lang w:val="fr-FR"/>
        </w:rPr>
        <w:t>.  Le requérant se plaint</w:t>
      </w:r>
      <w:r w:rsidR="00394DA5" w:rsidRPr="00F40FBE">
        <w:rPr>
          <w:lang w:val="fr-FR"/>
        </w:rPr>
        <w:t xml:space="preserve"> </w:t>
      </w:r>
      <w:r w:rsidRPr="00F40FBE">
        <w:rPr>
          <w:lang w:val="fr-FR"/>
        </w:rPr>
        <w:t>d</w:t>
      </w:r>
      <w:r w:rsidR="00C76A4F" w:rsidRPr="00F40FBE">
        <w:rPr>
          <w:lang w:val="fr-FR"/>
        </w:rPr>
        <w:t xml:space="preserve">u caractère ineffectif du recours fondé sur la </w:t>
      </w:r>
      <w:r w:rsidR="00970147" w:rsidRPr="00F40FBE">
        <w:rPr>
          <w:lang w:val="fr-FR"/>
        </w:rPr>
        <w:t>« </w:t>
      </w:r>
      <w:r w:rsidR="00C76A4F" w:rsidRPr="00F40FBE">
        <w:rPr>
          <w:lang w:val="fr-FR"/>
        </w:rPr>
        <w:t xml:space="preserve">loi </w:t>
      </w:r>
      <w:r w:rsidR="00A1169F" w:rsidRPr="00F40FBE">
        <w:rPr>
          <w:lang w:val="fr-FR"/>
        </w:rPr>
        <w:t>P</w:t>
      </w:r>
      <w:r w:rsidR="00C76A4F" w:rsidRPr="00F40FBE">
        <w:rPr>
          <w:lang w:val="fr-FR"/>
        </w:rPr>
        <w:t>into</w:t>
      </w:r>
      <w:r w:rsidR="00970147" w:rsidRPr="00F40FBE">
        <w:rPr>
          <w:lang w:val="fr-FR"/>
        </w:rPr>
        <w:t> »</w:t>
      </w:r>
      <w:r w:rsidR="00D96E4F" w:rsidRPr="00F40FBE">
        <w:rPr>
          <w:lang w:val="fr-FR"/>
        </w:rPr>
        <w:t>, notamment au motif</w:t>
      </w:r>
      <w:r w:rsidR="00BF5A62" w:rsidRPr="00F40FBE">
        <w:rPr>
          <w:lang w:val="fr-FR"/>
        </w:rPr>
        <w:t xml:space="preserve"> </w:t>
      </w:r>
      <w:r w:rsidRPr="00F40FBE">
        <w:rPr>
          <w:lang w:val="fr-FR"/>
        </w:rPr>
        <w:t>qu</w:t>
      </w:r>
      <w:r w:rsidR="005C4767" w:rsidRPr="00F40FBE">
        <w:rPr>
          <w:lang w:val="fr-FR"/>
        </w:rPr>
        <w:t xml:space="preserve">e, </w:t>
      </w:r>
      <w:r w:rsidRPr="00F40FBE">
        <w:rPr>
          <w:lang w:val="fr-FR"/>
        </w:rPr>
        <w:t xml:space="preserve">en </w:t>
      </w:r>
      <w:r w:rsidR="00275A76" w:rsidRPr="00F40FBE">
        <w:rPr>
          <w:lang w:val="fr-FR"/>
        </w:rPr>
        <w:t>raison de la jurisprudence</w:t>
      </w:r>
      <w:r w:rsidR="00BF5A62" w:rsidRPr="00F40FBE">
        <w:rPr>
          <w:lang w:val="fr-FR"/>
        </w:rPr>
        <w:t xml:space="preserve"> bien établie</w:t>
      </w:r>
      <w:r w:rsidR="00275A76" w:rsidRPr="00F40FBE">
        <w:rPr>
          <w:lang w:val="fr-FR"/>
        </w:rPr>
        <w:t xml:space="preserve"> de la Cour de cassation</w:t>
      </w:r>
      <w:r w:rsidR="00A1169F" w:rsidRPr="00F40FBE">
        <w:rPr>
          <w:lang w:val="fr-FR"/>
        </w:rPr>
        <w:t>,</w:t>
      </w:r>
      <w:r w:rsidR="00275A76" w:rsidRPr="00F40FBE">
        <w:rPr>
          <w:lang w:val="fr-FR"/>
        </w:rPr>
        <w:t xml:space="preserve"> la liquidation administrative est considérée comme </w:t>
      </w:r>
      <w:r w:rsidR="00BF5A62" w:rsidRPr="00F40FBE">
        <w:rPr>
          <w:lang w:val="fr-FR"/>
        </w:rPr>
        <w:t>une procédure administrative pour laquelle le</w:t>
      </w:r>
      <w:r w:rsidR="00275A76" w:rsidRPr="00F40FBE">
        <w:rPr>
          <w:lang w:val="fr-FR"/>
        </w:rPr>
        <w:t xml:space="preserve"> re</w:t>
      </w:r>
      <w:r w:rsidR="00BF5A62" w:rsidRPr="00F40FBE">
        <w:rPr>
          <w:lang w:val="fr-FR"/>
        </w:rPr>
        <w:t>cours</w:t>
      </w:r>
      <w:r w:rsidR="00275A76" w:rsidRPr="00F40FBE">
        <w:rPr>
          <w:lang w:val="fr-FR"/>
        </w:rPr>
        <w:t xml:space="preserve"> Pinto </w:t>
      </w:r>
      <w:r w:rsidR="005C4767" w:rsidRPr="00F40FBE">
        <w:rPr>
          <w:lang w:val="fr-FR"/>
        </w:rPr>
        <w:t xml:space="preserve">serait </w:t>
      </w:r>
      <w:r w:rsidR="00BF5A62" w:rsidRPr="00F40FBE">
        <w:rPr>
          <w:lang w:val="fr-FR"/>
        </w:rPr>
        <w:t>exclu</w:t>
      </w:r>
      <w:r w:rsidRPr="00F40FBE">
        <w:rPr>
          <w:lang w:val="fr-FR"/>
        </w:rPr>
        <w:t>. Il invoque l</w:t>
      </w:r>
      <w:r w:rsidR="00F40FBE" w:rsidRPr="00F40FBE">
        <w:rPr>
          <w:lang w:val="fr-FR"/>
        </w:rPr>
        <w:t>’</w:t>
      </w:r>
      <w:r w:rsidRPr="00F40FBE">
        <w:rPr>
          <w:lang w:val="fr-FR"/>
        </w:rPr>
        <w:t>article 13 de la Convention</w:t>
      </w:r>
      <w:r w:rsidR="00A1169F" w:rsidRPr="00F40FBE">
        <w:rPr>
          <w:lang w:val="fr-FR"/>
        </w:rPr>
        <w:t>, ainsi libellé</w:t>
      </w:r>
      <w:r w:rsidR="005C4767" w:rsidRPr="00F40FBE">
        <w:rPr>
          <w:lang w:val="fr-FR"/>
        </w:rPr>
        <w:t> :</w:t>
      </w:r>
    </w:p>
    <w:p w:rsidR="004A6A9B" w:rsidRPr="00F40FBE" w:rsidRDefault="004A6A9B" w:rsidP="00F40FBE">
      <w:pPr>
        <w:pStyle w:val="ECHRParaQuote"/>
        <w:rPr>
          <w:lang w:val="fr-FR"/>
        </w:rPr>
      </w:pPr>
      <w:r w:rsidRPr="00F40FBE">
        <w:rPr>
          <w:lang w:val="fr-FR"/>
        </w:rPr>
        <w:t>« Toute personne dont les droits et libertés reconnus dans la (...) Convention ont été violés, a droit à l</w:t>
      </w:r>
      <w:r w:rsidR="00F40FBE" w:rsidRPr="00F40FBE">
        <w:rPr>
          <w:lang w:val="fr-FR"/>
        </w:rPr>
        <w:t>’</w:t>
      </w:r>
      <w:r w:rsidRPr="00F40FBE">
        <w:rPr>
          <w:lang w:val="fr-FR"/>
        </w:rPr>
        <w:t>octroi d</w:t>
      </w:r>
      <w:r w:rsidR="00F40FBE" w:rsidRPr="00F40FBE">
        <w:rPr>
          <w:lang w:val="fr-FR"/>
        </w:rPr>
        <w:t>’</w:t>
      </w:r>
      <w:r w:rsidRPr="00F40FBE">
        <w:rPr>
          <w:lang w:val="fr-FR"/>
        </w:rPr>
        <w:t>un recours effectif devant une instance nationale, alors même que la violation aurait été commise par des personnes agissant dans l</w:t>
      </w:r>
      <w:r w:rsidR="00F40FBE" w:rsidRPr="00F40FBE">
        <w:rPr>
          <w:lang w:val="fr-FR"/>
        </w:rPr>
        <w:t>’</w:t>
      </w:r>
      <w:r w:rsidRPr="00F40FBE">
        <w:rPr>
          <w:lang w:val="fr-FR"/>
        </w:rPr>
        <w:t>exercice de leurs fonctions officielles. »</w:t>
      </w:r>
    </w:p>
    <w:p w:rsidR="000C3022" w:rsidRPr="00F40FBE" w:rsidRDefault="000C3022"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47</w:t>
      </w:r>
      <w:r w:rsidRPr="00F40FBE">
        <w:rPr>
          <w:lang w:val="fr-FR"/>
        </w:rPr>
        <w:fldChar w:fldCharType="end"/>
      </w:r>
      <w:r w:rsidRPr="00F40FBE">
        <w:rPr>
          <w:lang w:val="fr-FR"/>
        </w:rPr>
        <w:t>.  L</w:t>
      </w:r>
      <w:r w:rsidR="00562653" w:rsidRPr="00F40FBE">
        <w:rPr>
          <w:lang w:val="fr-FR"/>
        </w:rPr>
        <w:t>e</w:t>
      </w:r>
      <w:r w:rsidRPr="00F40FBE">
        <w:rPr>
          <w:lang w:val="fr-FR"/>
        </w:rPr>
        <w:t xml:space="preserve"> </w:t>
      </w:r>
      <w:r w:rsidR="001305BD" w:rsidRPr="00F40FBE">
        <w:rPr>
          <w:lang w:val="fr-FR"/>
        </w:rPr>
        <w:t xml:space="preserve">Gouvernent </w:t>
      </w:r>
      <w:r w:rsidR="00835B5F" w:rsidRPr="00F40FBE">
        <w:rPr>
          <w:lang w:val="fr-FR"/>
        </w:rPr>
        <w:t>soutie</w:t>
      </w:r>
      <w:r w:rsidR="001305BD" w:rsidRPr="00F40FBE">
        <w:rPr>
          <w:lang w:val="fr-FR"/>
        </w:rPr>
        <w:t xml:space="preserve">nt que le remède Pinto représente </w:t>
      </w:r>
      <w:r w:rsidR="001234C1" w:rsidRPr="00F40FBE">
        <w:rPr>
          <w:lang w:val="fr-FR"/>
        </w:rPr>
        <w:t xml:space="preserve">en règle générale </w:t>
      </w:r>
      <w:r w:rsidR="001305BD" w:rsidRPr="00F40FBE">
        <w:rPr>
          <w:lang w:val="fr-FR"/>
        </w:rPr>
        <w:t>une voie de recours eff</w:t>
      </w:r>
      <w:r w:rsidR="00351D9F" w:rsidRPr="00F40FBE">
        <w:rPr>
          <w:lang w:val="fr-FR"/>
        </w:rPr>
        <w:t>ective</w:t>
      </w:r>
      <w:r w:rsidR="00B1268F" w:rsidRPr="00F40FBE">
        <w:rPr>
          <w:lang w:val="fr-FR"/>
        </w:rPr>
        <w:t xml:space="preserve"> </w:t>
      </w:r>
      <w:r w:rsidR="001234C1" w:rsidRPr="00F40FBE">
        <w:rPr>
          <w:lang w:val="fr-FR"/>
        </w:rPr>
        <w:t>qui est toutefois</w:t>
      </w:r>
      <w:r w:rsidR="00052978" w:rsidRPr="00F40FBE">
        <w:rPr>
          <w:lang w:val="fr-FR"/>
        </w:rPr>
        <w:t xml:space="preserve"> inapplicable en </w:t>
      </w:r>
      <w:r w:rsidR="00332CD2" w:rsidRPr="00F40FBE">
        <w:rPr>
          <w:lang w:val="fr-FR"/>
        </w:rPr>
        <w:t>matière de liquidation administrative</w:t>
      </w:r>
      <w:r w:rsidR="00052978" w:rsidRPr="00F40FBE">
        <w:rPr>
          <w:lang w:val="fr-FR"/>
        </w:rPr>
        <w:t>.</w:t>
      </w:r>
    </w:p>
    <w:p w:rsidR="000C3022" w:rsidRPr="00F40FBE" w:rsidRDefault="000C3022"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48</w:t>
      </w:r>
      <w:r w:rsidRPr="00F40FBE">
        <w:rPr>
          <w:lang w:val="fr-FR"/>
        </w:rPr>
        <w:fldChar w:fldCharType="end"/>
      </w:r>
      <w:r w:rsidRPr="00F40FBE">
        <w:rPr>
          <w:lang w:val="fr-FR"/>
        </w:rPr>
        <w:t>.  </w:t>
      </w:r>
      <w:r w:rsidR="00DB6992" w:rsidRPr="00F40FBE">
        <w:rPr>
          <w:lang w:val="fr-FR"/>
        </w:rPr>
        <w:t>La</w:t>
      </w:r>
      <w:r w:rsidRPr="00F40FBE">
        <w:rPr>
          <w:lang w:val="fr-FR"/>
        </w:rPr>
        <w:t xml:space="preserve"> Cour observe </w:t>
      </w:r>
      <w:r w:rsidR="00B1268F" w:rsidRPr="00F40FBE">
        <w:rPr>
          <w:lang w:val="fr-FR"/>
        </w:rPr>
        <w:t>que</w:t>
      </w:r>
      <w:r w:rsidR="00332CD2" w:rsidRPr="00F40FBE">
        <w:rPr>
          <w:lang w:val="fr-FR"/>
        </w:rPr>
        <w:t xml:space="preserve"> </w:t>
      </w:r>
      <w:r w:rsidR="00052978" w:rsidRPr="00F40FBE">
        <w:rPr>
          <w:lang w:val="fr-FR"/>
        </w:rPr>
        <w:t>les principes qui</w:t>
      </w:r>
      <w:r w:rsidR="00275A76" w:rsidRPr="00F40FBE">
        <w:rPr>
          <w:lang w:val="fr-FR"/>
        </w:rPr>
        <w:t xml:space="preserve"> </w:t>
      </w:r>
      <w:r w:rsidR="003A3308" w:rsidRPr="00F40FBE">
        <w:rPr>
          <w:lang w:val="fr-FR"/>
        </w:rPr>
        <w:t>se dégage</w:t>
      </w:r>
      <w:r w:rsidR="00052978" w:rsidRPr="00F40FBE">
        <w:rPr>
          <w:lang w:val="fr-FR"/>
        </w:rPr>
        <w:t>nt</w:t>
      </w:r>
      <w:r w:rsidR="00DB6992" w:rsidRPr="00F40FBE">
        <w:rPr>
          <w:lang w:val="fr-FR"/>
        </w:rPr>
        <w:t xml:space="preserve"> de la jurisprudence </w:t>
      </w:r>
      <w:r w:rsidR="00352389" w:rsidRPr="00F40FBE">
        <w:rPr>
          <w:lang w:val="fr-FR"/>
        </w:rPr>
        <w:t>interne consolidée</w:t>
      </w:r>
      <w:r w:rsidR="00DB6992" w:rsidRPr="00F40FBE">
        <w:rPr>
          <w:lang w:val="fr-FR"/>
        </w:rPr>
        <w:t xml:space="preserve"> en la matière</w:t>
      </w:r>
      <w:r w:rsidR="00970147" w:rsidRPr="00F40FBE">
        <w:rPr>
          <w:lang w:val="fr-FR"/>
        </w:rPr>
        <w:t xml:space="preserve"> confirment l</w:t>
      </w:r>
      <w:r w:rsidR="00F40FBE" w:rsidRPr="00F40FBE">
        <w:rPr>
          <w:lang w:val="fr-FR"/>
        </w:rPr>
        <w:t>’</w:t>
      </w:r>
      <w:r w:rsidR="00970147" w:rsidRPr="00F40FBE">
        <w:rPr>
          <w:lang w:val="fr-FR"/>
        </w:rPr>
        <w:t>inapplicabilité de la « loi Pinto » à la liquidation administrative</w:t>
      </w:r>
      <w:r w:rsidR="00DB6992" w:rsidRPr="00F40FBE">
        <w:rPr>
          <w:lang w:val="fr-FR"/>
        </w:rPr>
        <w:t xml:space="preserve"> (</w:t>
      </w:r>
      <w:r w:rsidR="00733688" w:rsidRPr="00F40FBE">
        <w:rPr>
          <w:lang w:val="fr-FR"/>
        </w:rPr>
        <w:t xml:space="preserve">paragraphe </w:t>
      </w:r>
      <w:r w:rsidR="00733688" w:rsidRPr="00F40FBE">
        <w:rPr>
          <w:lang w:val="fr-FR"/>
        </w:rPr>
        <w:fldChar w:fldCharType="begin"/>
      </w:r>
      <w:r w:rsidR="00733688" w:rsidRPr="00F40FBE">
        <w:rPr>
          <w:lang w:val="fr-FR"/>
        </w:rPr>
        <w:instrText xml:space="preserve"> REF JP_nationale \h </w:instrText>
      </w:r>
      <w:r w:rsidR="00D96E4F" w:rsidRPr="00F40FBE">
        <w:rPr>
          <w:lang w:val="fr-FR"/>
        </w:rPr>
        <w:instrText xml:space="preserve"> \* MERGEFORMAT </w:instrText>
      </w:r>
      <w:r w:rsidR="00733688" w:rsidRPr="00F40FBE">
        <w:rPr>
          <w:lang w:val="fr-FR"/>
        </w:rPr>
      </w:r>
      <w:r w:rsidR="00733688" w:rsidRPr="00F40FBE">
        <w:rPr>
          <w:lang w:val="fr-FR"/>
        </w:rPr>
        <w:fldChar w:fldCharType="separate"/>
      </w:r>
      <w:r w:rsidR="00F40FBE" w:rsidRPr="00F40FBE">
        <w:rPr>
          <w:noProof/>
          <w:lang w:val="fr-FR"/>
        </w:rPr>
        <w:t>18</w:t>
      </w:r>
      <w:r w:rsidR="00733688" w:rsidRPr="00F40FBE">
        <w:rPr>
          <w:lang w:val="fr-FR"/>
        </w:rPr>
        <w:fldChar w:fldCharType="end"/>
      </w:r>
      <w:r w:rsidR="00733688" w:rsidRPr="00F40FBE">
        <w:rPr>
          <w:lang w:val="fr-FR"/>
        </w:rPr>
        <w:t xml:space="preserve"> ci-dessus</w:t>
      </w:r>
      <w:r w:rsidR="00DB6992" w:rsidRPr="00F40FBE">
        <w:rPr>
          <w:lang w:val="fr-FR"/>
        </w:rPr>
        <w:t>)</w:t>
      </w:r>
      <w:r w:rsidR="00275A76" w:rsidRPr="00F40FBE">
        <w:rPr>
          <w:lang w:val="fr-FR"/>
        </w:rPr>
        <w:t>.</w:t>
      </w:r>
    </w:p>
    <w:p w:rsidR="00835B5F" w:rsidRPr="00F40FBE" w:rsidRDefault="000C3022" w:rsidP="00F40FBE">
      <w:pPr>
        <w:pStyle w:val="ECHRPara"/>
        <w:rPr>
          <w:i/>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49</w:t>
      </w:r>
      <w:r w:rsidRPr="00F40FBE">
        <w:rPr>
          <w:lang w:val="fr-FR"/>
        </w:rPr>
        <w:fldChar w:fldCharType="end"/>
      </w:r>
      <w:r w:rsidRPr="00F40FBE">
        <w:rPr>
          <w:lang w:val="fr-FR"/>
        </w:rPr>
        <w:t>.  </w:t>
      </w:r>
      <w:r w:rsidR="00E027C2" w:rsidRPr="00F40FBE">
        <w:rPr>
          <w:lang w:val="fr-FR"/>
        </w:rPr>
        <w:t>Ainsi, l</w:t>
      </w:r>
      <w:r w:rsidR="00DB6992" w:rsidRPr="00F40FBE">
        <w:rPr>
          <w:lang w:val="fr-FR"/>
        </w:rPr>
        <w:t>a Cour estime qu</w:t>
      </w:r>
      <w:r w:rsidR="00F40FBE" w:rsidRPr="00F40FBE">
        <w:rPr>
          <w:lang w:val="fr-FR"/>
        </w:rPr>
        <w:t>’</w:t>
      </w:r>
      <w:r w:rsidR="00835B5F" w:rsidRPr="00F40FBE">
        <w:rPr>
          <w:lang w:val="fr-FR"/>
        </w:rPr>
        <w:t>il y a eu violation de l</w:t>
      </w:r>
      <w:r w:rsidR="00F40FBE" w:rsidRPr="00F40FBE">
        <w:rPr>
          <w:lang w:val="fr-FR"/>
        </w:rPr>
        <w:t>’</w:t>
      </w:r>
      <w:r w:rsidR="00835B5F" w:rsidRPr="00F40FBE">
        <w:rPr>
          <w:lang w:val="fr-FR"/>
        </w:rPr>
        <w:t>article 1</w:t>
      </w:r>
      <w:r w:rsidR="00B1268F" w:rsidRPr="00F40FBE">
        <w:rPr>
          <w:lang w:val="fr-FR"/>
        </w:rPr>
        <w:t>3</w:t>
      </w:r>
      <w:r w:rsidR="00835B5F" w:rsidRPr="00F40FBE">
        <w:rPr>
          <w:lang w:val="fr-FR"/>
        </w:rPr>
        <w:t xml:space="preserve"> de la Convention à raison de l</w:t>
      </w:r>
      <w:r w:rsidR="00F40FBE" w:rsidRPr="00F40FBE">
        <w:rPr>
          <w:lang w:val="fr-FR"/>
        </w:rPr>
        <w:t>’</w:t>
      </w:r>
      <w:r w:rsidR="00835B5F" w:rsidRPr="00F40FBE">
        <w:rPr>
          <w:lang w:val="fr-FR"/>
        </w:rPr>
        <w:t xml:space="preserve">absence </w:t>
      </w:r>
      <w:r w:rsidR="003F42E9" w:rsidRPr="00F40FBE">
        <w:rPr>
          <w:lang w:val="fr-FR"/>
        </w:rPr>
        <w:t xml:space="preserve">en droit interne </w:t>
      </w:r>
      <w:r w:rsidR="00835B5F" w:rsidRPr="00F40FBE">
        <w:rPr>
          <w:lang w:val="fr-FR"/>
        </w:rPr>
        <w:t>d</w:t>
      </w:r>
      <w:r w:rsidR="00F40FBE" w:rsidRPr="00F40FBE">
        <w:rPr>
          <w:lang w:val="fr-FR"/>
        </w:rPr>
        <w:t>’</w:t>
      </w:r>
      <w:r w:rsidR="00835B5F" w:rsidRPr="00F40FBE">
        <w:rPr>
          <w:lang w:val="fr-FR"/>
        </w:rPr>
        <w:t xml:space="preserve">un recours </w:t>
      </w:r>
      <w:r w:rsidR="003F42E9" w:rsidRPr="00F40FBE">
        <w:rPr>
          <w:lang w:val="fr-FR"/>
        </w:rPr>
        <w:t xml:space="preserve">permettant </w:t>
      </w:r>
      <w:r w:rsidR="00835B5F" w:rsidRPr="00F40FBE">
        <w:rPr>
          <w:lang w:val="fr-FR"/>
        </w:rPr>
        <w:t>au requérant d</w:t>
      </w:r>
      <w:r w:rsidR="00F40FBE" w:rsidRPr="00F40FBE">
        <w:rPr>
          <w:lang w:val="fr-FR"/>
        </w:rPr>
        <w:t>’</w:t>
      </w:r>
      <w:r w:rsidR="00835B5F" w:rsidRPr="00F40FBE">
        <w:rPr>
          <w:lang w:val="fr-FR"/>
        </w:rPr>
        <w:t>obtenir la sanction de son droit à voir sa cause entendue dans un délai raisonnable, au sens de l</w:t>
      </w:r>
      <w:r w:rsidR="00F40FBE" w:rsidRPr="00F40FBE">
        <w:rPr>
          <w:lang w:val="fr-FR"/>
        </w:rPr>
        <w:t>’</w:t>
      </w:r>
      <w:r w:rsidR="00835B5F" w:rsidRPr="00F40FBE">
        <w:rPr>
          <w:lang w:val="fr-FR"/>
        </w:rPr>
        <w:t>article 6 § 1 de la Convention</w:t>
      </w:r>
      <w:r w:rsidR="009A2754" w:rsidRPr="00F40FBE">
        <w:rPr>
          <w:lang w:val="fr-FR"/>
        </w:rPr>
        <w:t xml:space="preserve"> (</w:t>
      </w:r>
      <w:r w:rsidR="009A2754" w:rsidRPr="00F40FBE">
        <w:rPr>
          <w:i/>
          <w:iCs/>
          <w:lang w:val="fr-FR"/>
        </w:rPr>
        <w:t>Xenos c.</w:t>
      </w:r>
      <w:r w:rsidR="00B1268F" w:rsidRPr="00F40FBE">
        <w:rPr>
          <w:i/>
          <w:iCs/>
          <w:lang w:val="fr-FR"/>
        </w:rPr>
        <w:t> </w:t>
      </w:r>
      <w:r w:rsidR="009A2754" w:rsidRPr="00F40FBE">
        <w:rPr>
          <w:i/>
          <w:iCs/>
          <w:lang w:val="fr-FR"/>
        </w:rPr>
        <w:t>Grèce</w:t>
      </w:r>
      <w:r w:rsidR="009A2754" w:rsidRPr="00F40FBE">
        <w:rPr>
          <w:lang w:val="fr-FR" w:eastAsia="en-GB"/>
        </w:rPr>
        <w:t>, n</w:t>
      </w:r>
      <w:r w:rsidR="009A2754" w:rsidRPr="00F40FBE">
        <w:rPr>
          <w:vertAlign w:val="superscript"/>
          <w:lang w:val="fr-FR"/>
        </w:rPr>
        <w:t>o</w:t>
      </w:r>
      <w:r w:rsidR="009A2754" w:rsidRPr="00F40FBE">
        <w:rPr>
          <w:lang w:val="fr-FR" w:eastAsia="en-GB"/>
        </w:rPr>
        <w:t xml:space="preserve"> </w:t>
      </w:r>
      <w:r w:rsidR="009A2754" w:rsidRPr="00F40FBE">
        <w:rPr>
          <w:lang w:val="fr-FR"/>
        </w:rPr>
        <w:t>45225/09</w:t>
      </w:r>
      <w:r w:rsidR="009A2754" w:rsidRPr="00F40FBE">
        <w:rPr>
          <w:lang w:val="fr-FR" w:eastAsia="en-GB"/>
        </w:rPr>
        <w:t xml:space="preserve">, </w:t>
      </w:r>
      <w:r w:rsidR="009A2754" w:rsidRPr="00F40FBE">
        <w:rPr>
          <w:lang w:val="fr-FR"/>
        </w:rPr>
        <w:t>§ 44, 13 juillet 2017</w:t>
      </w:r>
      <w:r w:rsidR="00B1268F" w:rsidRPr="00F40FBE">
        <w:rPr>
          <w:lang w:val="fr-FR"/>
        </w:rPr>
        <w:t>).</w:t>
      </w:r>
    </w:p>
    <w:p w:rsidR="00F84635" w:rsidRPr="00F40FBE" w:rsidRDefault="00052978" w:rsidP="00F40FBE">
      <w:pPr>
        <w:pStyle w:val="ECHRHeading1"/>
        <w:rPr>
          <w:lang w:val="fr-FR"/>
        </w:rPr>
      </w:pPr>
      <w:r w:rsidRPr="00F40FBE">
        <w:rPr>
          <w:lang w:val="fr-FR"/>
        </w:rPr>
        <w:t>III</w:t>
      </w:r>
      <w:r w:rsidR="00F84635" w:rsidRPr="00F40FBE">
        <w:rPr>
          <w:lang w:val="fr-FR"/>
        </w:rPr>
        <w:t>.  SUR L</w:t>
      </w:r>
      <w:r w:rsidR="00F40FBE" w:rsidRPr="00F40FBE">
        <w:rPr>
          <w:lang w:val="fr-FR"/>
        </w:rPr>
        <w:t>’</w:t>
      </w:r>
      <w:r w:rsidR="00F84635" w:rsidRPr="00F40FBE">
        <w:rPr>
          <w:lang w:val="fr-FR"/>
        </w:rPr>
        <w:t>APPLICATION DE L</w:t>
      </w:r>
      <w:r w:rsidR="00F40FBE" w:rsidRPr="00F40FBE">
        <w:rPr>
          <w:lang w:val="fr-FR"/>
        </w:rPr>
        <w:t>’</w:t>
      </w:r>
      <w:r w:rsidR="00F84635" w:rsidRPr="00F40FBE">
        <w:rPr>
          <w:lang w:val="fr-FR"/>
        </w:rPr>
        <w:t>ARTICLE 41 DE LA CONVENTION</w:t>
      </w:r>
    </w:p>
    <w:p w:rsidR="00F84635"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50</w:t>
      </w:r>
      <w:r w:rsidRPr="00F40FBE">
        <w:rPr>
          <w:lang w:val="fr-FR"/>
        </w:rPr>
        <w:fldChar w:fldCharType="end"/>
      </w:r>
      <w:r w:rsidR="00F84635" w:rsidRPr="00F40FBE">
        <w:rPr>
          <w:lang w:val="fr-FR"/>
        </w:rPr>
        <w:t>.  Aux termes de l</w:t>
      </w:r>
      <w:r w:rsidR="00F40FBE" w:rsidRPr="00F40FBE">
        <w:rPr>
          <w:lang w:val="fr-FR"/>
        </w:rPr>
        <w:t>’</w:t>
      </w:r>
      <w:r w:rsidR="00F84635" w:rsidRPr="00F40FBE">
        <w:rPr>
          <w:lang w:val="fr-FR"/>
        </w:rPr>
        <w:t>article 41 de la Convention,</w:t>
      </w:r>
    </w:p>
    <w:p w:rsidR="00F84635" w:rsidRPr="00F40FBE" w:rsidRDefault="00F84635" w:rsidP="00F40FBE">
      <w:pPr>
        <w:pStyle w:val="ECHRParaQuote"/>
        <w:rPr>
          <w:lang w:val="fr-FR"/>
        </w:rPr>
      </w:pPr>
      <w:r w:rsidRPr="00F40FBE">
        <w:rPr>
          <w:lang w:val="fr-FR"/>
        </w:rPr>
        <w:t>« Si la Cour déclare qu</w:t>
      </w:r>
      <w:r w:rsidR="00F40FBE" w:rsidRPr="00F40FBE">
        <w:rPr>
          <w:lang w:val="fr-FR"/>
        </w:rPr>
        <w:t>’</w:t>
      </w:r>
      <w:r w:rsidRPr="00F40FBE">
        <w:rPr>
          <w:lang w:val="fr-FR"/>
        </w:rPr>
        <w:t>il y a eu violation de la Convention ou de ses Protocoles, et si le droit interne de la Haute Partie contractante ne permet d</w:t>
      </w:r>
      <w:r w:rsidR="00F40FBE" w:rsidRPr="00F40FBE">
        <w:rPr>
          <w:lang w:val="fr-FR"/>
        </w:rPr>
        <w:t>’</w:t>
      </w:r>
      <w:r w:rsidRPr="00F40FBE">
        <w:rPr>
          <w:lang w:val="fr-FR"/>
        </w:rPr>
        <w:t>effacer qu</w:t>
      </w:r>
      <w:r w:rsidR="00F40FBE" w:rsidRPr="00F40FBE">
        <w:rPr>
          <w:lang w:val="fr-FR"/>
        </w:rPr>
        <w:t>’</w:t>
      </w:r>
      <w:r w:rsidRPr="00F40FBE">
        <w:rPr>
          <w:lang w:val="fr-FR"/>
        </w:rPr>
        <w:t>imparfaitement les conséquences de cette violation, la Cour accorde à la partie lésée, s</w:t>
      </w:r>
      <w:r w:rsidR="00F40FBE" w:rsidRPr="00F40FBE">
        <w:rPr>
          <w:lang w:val="fr-FR"/>
        </w:rPr>
        <w:t>’</w:t>
      </w:r>
      <w:r w:rsidRPr="00F40FBE">
        <w:rPr>
          <w:lang w:val="fr-FR"/>
        </w:rPr>
        <w:t>il y a lieu, une satisfaction équitable. »</w:t>
      </w:r>
    </w:p>
    <w:p w:rsidR="00F84635" w:rsidRPr="00F40FBE" w:rsidRDefault="00F84635" w:rsidP="00F40FBE">
      <w:pPr>
        <w:pStyle w:val="ECHRHeading2"/>
        <w:rPr>
          <w:lang w:val="fr-FR"/>
        </w:rPr>
      </w:pPr>
      <w:r w:rsidRPr="00F40FBE">
        <w:rPr>
          <w:lang w:val="fr-FR"/>
        </w:rPr>
        <w:lastRenderedPageBreak/>
        <w:t>A.  Dommage</w:t>
      </w:r>
    </w:p>
    <w:p w:rsidR="000C3022"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51</w:t>
      </w:r>
      <w:r w:rsidRPr="00F40FBE">
        <w:rPr>
          <w:lang w:val="fr-FR"/>
        </w:rPr>
        <w:fldChar w:fldCharType="end"/>
      </w:r>
      <w:r w:rsidR="00F84635" w:rsidRPr="00F40FBE">
        <w:rPr>
          <w:lang w:val="fr-FR"/>
        </w:rPr>
        <w:t>.  </w:t>
      </w:r>
      <w:r w:rsidR="000C3022" w:rsidRPr="00F40FBE">
        <w:rPr>
          <w:lang w:val="fr-FR"/>
        </w:rPr>
        <w:t>Le requérant réclame</w:t>
      </w:r>
      <w:r w:rsidR="004760AE" w:rsidRPr="00F40FBE">
        <w:rPr>
          <w:lang w:val="fr-FR"/>
        </w:rPr>
        <w:t xml:space="preserve"> 367</w:t>
      </w:r>
      <w:r w:rsidR="00E027C2" w:rsidRPr="00F40FBE">
        <w:rPr>
          <w:lang w:val="fr-FR"/>
        </w:rPr>
        <w:t> </w:t>
      </w:r>
      <w:r w:rsidR="004760AE" w:rsidRPr="00F40FBE">
        <w:rPr>
          <w:lang w:val="fr-FR"/>
        </w:rPr>
        <w:t>166</w:t>
      </w:r>
      <w:r w:rsidR="00893FBC" w:rsidRPr="00F40FBE">
        <w:rPr>
          <w:lang w:val="fr-FR"/>
        </w:rPr>
        <w:t>,</w:t>
      </w:r>
      <w:r w:rsidR="004760AE" w:rsidRPr="00F40FBE">
        <w:rPr>
          <w:lang w:val="fr-FR"/>
        </w:rPr>
        <w:t>22</w:t>
      </w:r>
      <w:r w:rsidR="00337C22" w:rsidRPr="00F40FBE">
        <w:rPr>
          <w:lang w:val="fr-FR"/>
        </w:rPr>
        <w:t xml:space="preserve"> </w:t>
      </w:r>
      <w:r w:rsidR="000C3022" w:rsidRPr="00F40FBE">
        <w:rPr>
          <w:lang w:val="fr-FR"/>
        </w:rPr>
        <w:t xml:space="preserve">EUR </w:t>
      </w:r>
      <w:r w:rsidR="00E027C2" w:rsidRPr="00F40FBE">
        <w:rPr>
          <w:lang w:val="fr-FR"/>
        </w:rPr>
        <w:t>pour</w:t>
      </w:r>
      <w:r w:rsidR="000C3022" w:rsidRPr="00F40FBE">
        <w:rPr>
          <w:lang w:val="fr-FR"/>
        </w:rPr>
        <w:t xml:space="preserve"> </w:t>
      </w:r>
      <w:r w:rsidR="00332CD2" w:rsidRPr="00F40FBE">
        <w:rPr>
          <w:lang w:val="fr-FR"/>
        </w:rPr>
        <w:t xml:space="preserve">les </w:t>
      </w:r>
      <w:r w:rsidR="000C3022" w:rsidRPr="00F40FBE">
        <w:rPr>
          <w:lang w:val="fr-FR"/>
        </w:rPr>
        <w:t>préjudice</w:t>
      </w:r>
      <w:r w:rsidR="00E027C2" w:rsidRPr="00F40FBE">
        <w:rPr>
          <w:lang w:val="fr-FR"/>
        </w:rPr>
        <w:t>s</w:t>
      </w:r>
      <w:r w:rsidR="000C3022" w:rsidRPr="00F40FBE">
        <w:rPr>
          <w:lang w:val="fr-FR"/>
        </w:rPr>
        <w:t xml:space="preserve"> matériel et moral.</w:t>
      </w:r>
    </w:p>
    <w:p w:rsidR="00F84635" w:rsidRPr="00F40FBE" w:rsidRDefault="000C3022"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52</w:t>
      </w:r>
      <w:r w:rsidRPr="00F40FBE">
        <w:rPr>
          <w:lang w:val="fr-FR"/>
        </w:rPr>
        <w:fldChar w:fldCharType="end"/>
      </w:r>
      <w:r w:rsidR="001C75C0" w:rsidRPr="00F40FBE">
        <w:rPr>
          <w:lang w:val="fr-FR"/>
        </w:rPr>
        <w:t>.</w:t>
      </w:r>
      <w:r w:rsidR="00F84635" w:rsidRPr="00F40FBE">
        <w:rPr>
          <w:lang w:val="fr-FR"/>
        </w:rPr>
        <w:t>  Le Gouvernement conteste ces prétentions</w:t>
      </w:r>
      <w:r w:rsidR="00D26B64" w:rsidRPr="00F40FBE">
        <w:rPr>
          <w:lang w:val="fr-FR"/>
        </w:rPr>
        <w:t>, qu</w:t>
      </w:r>
      <w:r w:rsidR="00F40FBE" w:rsidRPr="00F40FBE">
        <w:rPr>
          <w:lang w:val="fr-FR"/>
        </w:rPr>
        <w:t>’</w:t>
      </w:r>
      <w:r w:rsidR="00D26B64" w:rsidRPr="00F40FBE">
        <w:rPr>
          <w:lang w:val="fr-FR"/>
        </w:rPr>
        <w:t>il juge excessives</w:t>
      </w:r>
      <w:r w:rsidR="00332CD2" w:rsidRPr="00F40FBE">
        <w:rPr>
          <w:lang w:val="fr-FR"/>
        </w:rPr>
        <w:t>,</w:t>
      </w:r>
      <w:r w:rsidR="00D26B64" w:rsidRPr="00F40FBE">
        <w:rPr>
          <w:lang w:val="fr-FR"/>
        </w:rPr>
        <w:t xml:space="preserve"> injustifiées et contraire</w:t>
      </w:r>
      <w:r w:rsidR="00E027C2" w:rsidRPr="00F40FBE">
        <w:rPr>
          <w:lang w:val="fr-FR"/>
        </w:rPr>
        <w:t>s</w:t>
      </w:r>
      <w:r w:rsidR="003E3C2F" w:rsidRPr="00F40FBE">
        <w:rPr>
          <w:lang w:val="fr-FR"/>
        </w:rPr>
        <w:t xml:space="preserve"> à la jurisprudence de la Cour.</w:t>
      </w:r>
    </w:p>
    <w:p w:rsidR="00F84635"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53</w:t>
      </w:r>
      <w:r w:rsidRPr="00F40FBE">
        <w:rPr>
          <w:lang w:val="fr-FR"/>
        </w:rPr>
        <w:fldChar w:fldCharType="end"/>
      </w:r>
      <w:r w:rsidR="00F84635" w:rsidRPr="00F40FBE">
        <w:rPr>
          <w:lang w:val="fr-FR"/>
        </w:rPr>
        <w:t xml:space="preserve">.  La Cour </w:t>
      </w:r>
      <w:r w:rsidR="00E30951" w:rsidRPr="00F40FBE">
        <w:rPr>
          <w:lang w:val="fr-FR"/>
        </w:rPr>
        <w:t>observe qu</w:t>
      </w:r>
      <w:r w:rsidR="00E027C2" w:rsidRPr="00F40FBE">
        <w:rPr>
          <w:lang w:val="fr-FR"/>
        </w:rPr>
        <w:t xml:space="preserve">e, </w:t>
      </w:r>
      <w:r w:rsidR="00733688" w:rsidRPr="00F40FBE">
        <w:rPr>
          <w:lang w:val="fr-FR"/>
        </w:rPr>
        <w:t>e</w:t>
      </w:r>
      <w:r w:rsidR="00E30951" w:rsidRPr="00F40FBE">
        <w:rPr>
          <w:lang w:val="fr-FR"/>
        </w:rPr>
        <w:t xml:space="preserve">n ce qui concerne le préjudice matériel, </w:t>
      </w:r>
      <w:r w:rsidR="003E3C2F" w:rsidRPr="00F40FBE">
        <w:rPr>
          <w:lang w:val="fr-FR"/>
        </w:rPr>
        <w:t xml:space="preserve">son évaluation </w:t>
      </w:r>
      <w:r w:rsidR="00D96E4F" w:rsidRPr="00F40FBE">
        <w:rPr>
          <w:lang w:val="fr-FR"/>
        </w:rPr>
        <w:t xml:space="preserve">est </w:t>
      </w:r>
      <w:r w:rsidR="003E3C2F" w:rsidRPr="00F40FBE">
        <w:rPr>
          <w:lang w:val="fr-FR"/>
        </w:rPr>
        <w:t>en cours dans le cadre</w:t>
      </w:r>
      <w:r w:rsidR="00E30951" w:rsidRPr="00F40FBE">
        <w:rPr>
          <w:lang w:val="fr-FR"/>
        </w:rPr>
        <w:t xml:space="preserve"> de la procédure nationale de liquidation administrative, laquelle était, </w:t>
      </w:r>
      <w:r w:rsidR="00D96E4F" w:rsidRPr="00F40FBE">
        <w:rPr>
          <w:lang w:val="fr-FR"/>
        </w:rPr>
        <w:t>aux</w:t>
      </w:r>
      <w:r w:rsidR="00E30951" w:rsidRPr="00F40FBE">
        <w:rPr>
          <w:lang w:val="fr-FR"/>
        </w:rPr>
        <w:t xml:space="preserve"> dernières informations, encore pendante. </w:t>
      </w:r>
      <w:r w:rsidR="00ED63E9" w:rsidRPr="00F40FBE">
        <w:rPr>
          <w:lang w:val="fr-FR"/>
        </w:rPr>
        <w:t>En tout état de cause, le préjudice matériel allégué par le requérant n</w:t>
      </w:r>
      <w:r w:rsidR="00F40FBE" w:rsidRPr="00F40FBE">
        <w:rPr>
          <w:lang w:val="fr-FR"/>
        </w:rPr>
        <w:t>’</w:t>
      </w:r>
      <w:r w:rsidR="00ED63E9" w:rsidRPr="00F40FBE">
        <w:rPr>
          <w:lang w:val="fr-FR"/>
        </w:rPr>
        <w:t xml:space="preserve">a pas de lien de causalité avec la violation constatée, à savoir la durée excessive de la procédure. </w:t>
      </w:r>
      <w:r w:rsidR="00E027C2" w:rsidRPr="00F40FBE">
        <w:rPr>
          <w:lang w:val="fr-FR"/>
        </w:rPr>
        <w:t>Partant, i</w:t>
      </w:r>
      <w:r w:rsidR="00E30951" w:rsidRPr="00F40FBE">
        <w:rPr>
          <w:lang w:val="fr-FR"/>
        </w:rPr>
        <w:t>l y a lieu de rejeter la demande</w:t>
      </w:r>
      <w:r w:rsidR="003E3C2F" w:rsidRPr="00F40FBE">
        <w:rPr>
          <w:lang w:val="fr-FR"/>
        </w:rPr>
        <w:t xml:space="preserve"> sous ce volet</w:t>
      </w:r>
      <w:r w:rsidR="00733688" w:rsidRPr="00F40FBE">
        <w:rPr>
          <w:lang w:val="fr-FR"/>
        </w:rPr>
        <w:t xml:space="preserve">. </w:t>
      </w:r>
      <w:r w:rsidR="00F84635" w:rsidRPr="00F40FBE">
        <w:rPr>
          <w:lang w:val="fr-FR"/>
        </w:rPr>
        <w:t xml:space="preserve">En revanche, elle estime </w:t>
      </w:r>
      <w:r w:rsidR="00E30951" w:rsidRPr="00F40FBE">
        <w:rPr>
          <w:lang w:val="fr-FR"/>
        </w:rPr>
        <w:t xml:space="preserve">que le requérant a subi un tort moral certain. Statuant en équité, elle lui accorde </w:t>
      </w:r>
      <w:r w:rsidR="00A33228" w:rsidRPr="00F40FBE">
        <w:rPr>
          <w:lang w:val="fr-FR"/>
        </w:rPr>
        <w:t>2</w:t>
      </w:r>
      <w:r w:rsidR="00CB330A" w:rsidRPr="00F40FBE">
        <w:rPr>
          <w:lang w:val="fr-FR"/>
        </w:rPr>
        <w:t>4</w:t>
      </w:r>
      <w:r w:rsidR="00E027C2" w:rsidRPr="00F40FBE">
        <w:rPr>
          <w:lang w:val="fr-FR"/>
        </w:rPr>
        <w:t> </w:t>
      </w:r>
      <w:r w:rsidR="00A33228" w:rsidRPr="00F40FBE">
        <w:rPr>
          <w:lang w:val="fr-FR"/>
        </w:rPr>
        <w:t>000</w:t>
      </w:r>
      <w:r w:rsidR="00E30951" w:rsidRPr="00F40FBE">
        <w:rPr>
          <w:lang w:val="fr-FR"/>
        </w:rPr>
        <w:t xml:space="preserve"> EUR à ce titre</w:t>
      </w:r>
      <w:r w:rsidR="00F84635" w:rsidRPr="00F40FBE">
        <w:rPr>
          <w:lang w:val="fr-FR"/>
        </w:rPr>
        <w:t>.</w:t>
      </w:r>
    </w:p>
    <w:p w:rsidR="00F84635" w:rsidRPr="00F40FBE" w:rsidRDefault="00F84635" w:rsidP="00F40FBE">
      <w:pPr>
        <w:pStyle w:val="ECHRHeading2"/>
        <w:rPr>
          <w:lang w:val="fr-FR"/>
        </w:rPr>
      </w:pPr>
      <w:r w:rsidRPr="00F40FBE">
        <w:rPr>
          <w:lang w:val="fr-FR"/>
        </w:rPr>
        <w:t>B.  Frais et dépens</w:t>
      </w:r>
    </w:p>
    <w:p w:rsidR="00F84635"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54</w:t>
      </w:r>
      <w:r w:rsidRPr="00F40FBE">
        <w:rPr>
          <w:lang w:val="fr-FR"/>
        </w:rPr>
        <w:fldChar w:fldCharType="end"/>
      </w:r>
      <w:r w:rsidR="00F84635" w:rsidRPr="00F40FBE">
        <w:rPr>
          <w:lang w:val="fr-FR"/>
        </w:rPr>
        <w:t>.  </w:t>
      </w:r>
      <w:r w:rsidRPr="00F40FBE">
        <w:rPr>
          <w:lang w:val="fr-FR"/>
        </w:rPr>
        <w:t>Le requérant</w:t>
      </w:r>
      <w:r w:rsidR="003E3C2F" w:rsidRPr="00F40FBE">
        <w:rPr>
          <w:lang w:val="fr-FR"/>
        </w:rPr>
        <w:t>, justificatif à l</w:t>
      </w:r>
      <w:r w:rsidR="00F40FBE" w:rsidRPr="00F40FBE">
        <w:rPr>
          <w:lang w:val="fr-FR"/>
        </w:rPr>
        <w:t>’</w:t>
      </w:r>
      <w:r w:rsidR="003E3C2F" w:rsidRPr="00F40FBE">
        <w:rPr>
          <w:lang w:val="fr-FR"/>
        </w:rPr>
        <w:t>appui,</w:t>
      </w:r>
      <w:r w:rsidR="00F84635" w:rsidRPr="00F40FBE">
        <w:rPr>
          <w:lang w:val="fr-FR"/>
        </w:rPr>
        <w:t xml:space="preserve"> demande également </w:t>
      </w:r>
      <w:r w:rsidR="008A2AEA" w:rsidRPr="00F40FBE">
        <w:rPr>
          <w:lang w:val="fr-FR"/>
        </w:rPr>
        <w:t>9</w:t>
      </w:r>
      <w:r w:rsidR="00E027C2" w:rsidRPr="00F40FBE">
        <w:rPr>
          <w:lang w:val="fr-FR"/>
        </w:rPr>
        <w:t> </w:t>
      </w:r>
      <w:r w:rsidR="008A2AEA" w:rsidRPr="00F40FBE">
        <w:rPr>
          <w:lang w:val="fr-FR"/>
        </w:rPr>
        <w:t>393</w:t>
      </w:r>
      <w:r w:rsidR="00E027C2" w:rsidRPr="00F40FBE">
        <w:rPr>
          <w:lang w:val="fr-FR"/>
        </w:rPr>
        <w:t>,</w:t>
      </w:r>
      <w:r w:rsidR="008A2AEA" w:rsidRPr="00F40FBE">
        <w:rPr>
          <w:lang w:val="fr-FR"/>
        </w:rPr>
        <w:t>25</w:t>
      </w:r>
      <w:r w:rsidR="00920445" w:rsidRPr="00F40FBE">
        <w:rPr>
          <w:lang w:val="fr-FR"/>
        </w:rPr>
        <w:t> </w:t>
      </w:r>
      <w:r w:rsidR="00F84635" w:rsidRPr="00F40FBE">
        <w:rPr>
          <w:lang w:val="fr-FR"/>
        </w:rPr>
        <w:t xml:space="preserve">EUR pour les frais et dépens engagés </w:t>
      </w:r>
      <w:r w:rsidR="00E027C2" w:rsidRPr="00F40FBE">
        <w:rPr>
          <w:lang w:val="fr-FR"/>
        </w:rPr>
        <w:t xml:space="preserve">dans la procédure </w:t>
      </w:r>
      <w:r w:rsidR="00F84635" w:rsidRPr="00F40FBE">
        <w:rPr>
          <w:lang w:val="fr-FR"/>
        </w:rPr>
        <w:t>devant la Cour.</w:t>
      </w:r>
    </w:p>
    <w:p w:rsidR="00F84635"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55</w:t>
      </w:r>
      <w:r w:rsidRPr="00F40FBE">
        <w:rPr>
          <w:lang w:val="fr-FR"/>
        </w:rPr>
        <w:fldChar w:fldCharType="end"/>
      </w:r>
      <w:r w:rsidR="00F84635" w:rsidRPr="00F40FBE">
        <w:rPr>
          <w:lang w:val="fr-FR"/>
        </w:rPr>
        <w:t>.  Le Gouvernement conteste ces prétentions.</w:t>
      </w:r>
    </w:p>
    <w:p w:rsidR="00F84635"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56</w:t>
      </w:r>
      <w:r w:rsidRPr="00F40FBE">
        <w:rPr>
          <w:lang w:val="fr-FR"/>
        </w:rPr>
        <w:fldChar w:fldCharType="end"/>
      </w:r>
      <w:r w:rsidR="00F84635" w:rsidRPr="00F40FBE">
        <w:rPr>
          <w:lang w:val="fr-FR"/>
        </w:rPr>
        <w:t>.  </w:t>
      </w:r>
      <w:r w:rsidRPr="00F40FBE">
        <w:rPr>
          <w:lang w:val="fr-FR"/>
        </w:rPr>
        <w:t>Selon la jurisprudence de la Cour, un requérant ne peut obtenir le remboursement de ses frais et dépens que dans la mesure où se trouvent établis leur réalité, leur nécessité et le caractère raisonnable de leur taux. En l</w:t>
      </w:r>
      <w:r w:rsidR="00F40FBE" w:rsidRPr="00F40FBE">
        <w:rPr>
          <w:lang w:val="fr-FR"/>
        </w:rPr>
        <w:t>’</w:t>
      </w:r>
      <w:r w:rsidRPr="00F40FBE">
        <w:rPr>
          <w:lang w:val="fr-FR"/>
        </w:rPr>
        <w:t>espèce, compte</w:t>
      </w:r>
      <w:r w:rsidR="00F84635" w:rsidRPr="00F40FBE">
        <w:rPr>
          <w:lang w:val="fr-FR"/>
        </w:rPr>
        <w:t xml:space="preserve"> tenu des documents </w:t>
      </w:r>
      <w:r w:rsidR="00257502" w:rsidRPr="00F40FBE">
        <w:rPr>
          <w:lang w:val="fr-FR"/>
        </w:rPr>
        <w:t xml:space="preserve">dont elle dispose </w:t>
      </w:r>
      <w:r w:rsidR="00F84635" w:rsidRPr="00F40FBE">
        <w:rPr>
          <w:lang w:val="fr-FR"/>
        </w:rPr>
        <w:t xml:space="preserve">et </w:t>
      </w:r>
      <w:r w:rsidRPr="00F40FBE">
        <w:rPr>
          <w:lang w:val="fr-FR"/>
        </w:rPr>
        <w:t>des critères susmentionnés</w:t>
      </w:r>
      <w:r w:rsidR="00F84635" w:rsidRPr="00F40FBE">
        <w:rPr>
          <w:lang w:val="fr-FR"/>
        </w:rPr>
        <w:t xml:space="preserve">, la Cour estime raisonnable la somme de </w:t>
      </w:r>
      <w:r w:rsidR="0018635A" w:rsidRPr="00F40FBE">
        <w:rPr>
          <w:lang w:val="fr-FR"/>
        </w:rPr>
        <w:t>2</w:t>
      </w:r>
      <w:r w:rsidR="00E027C2" w:rsidRPr="00F40FBE">
        <w:rPr>
          <w:lang w:val="fr-FR"/>
        </w:rPr>
        <w:t> </w:t>
      </w:r>
      <w:r w:rsidR="0018635A" w:rsidRPr="00F40FBE">
        <w:rPr>
          <w:lang w:val="fr-FR"/>
        </w:rPr>
        <w:t>500</w:t>
      </w:r>
      <w:r w:rsidR="00F84635" w:rsidRPr="00F40FBE">
        <w:rPr>
          <w:lang w:val="fr-FR"/>
        </w:rPr>
        <w:t xml:space="preserve"> EUR pour la procédure devant </w:t>
      </w:r>
      <w:r w:rsidR="00E027C2" w:rsidRPr="00F40FBE">
        <w:rPr>
          <w:lang w:val="fr-FR"/>
        </w:rPr>
        <w:t>elle</w:t>
      </w:r>
      <w:r w:rsidR="00F84635" w:rsidRPr="00F40FBE">
        <w:rPr>
          <w:lang w:val="fr-FR"/>
        </w:rPr>
        <w:t xml:space="preserve"> et l</w:t>
      </w:r>
      <w:r w:rsidR="00F40FBE" w:rsidRPr="00F40FBE">
        <w:rPr>
          <w:lang w:val="fr-FR"/>
        </w:rPr>
        <w:t>’</w:t>
      </w:r>
      <w:r w:rsidR="00F84635" w:rsidRPr="00F40FBE">
        <w:rPr>
          <w:lang w:val="fr-FR"/>
        </w:rPr>
        <w:t xml:space="preserve">accorde </w:t>
      </w:r>
      <w:r w:rsidRPr="00F40FBE">
        <w:rPr>
          <w:lang w:val="fr-FR"/>
        </w:rPr>
        <w:t>au requérant</w:t>
      </w:r>
      <w:r w:rsidR="00F84635" w:rsidRPr="00F40FBE">
        <w:rPr>
          <w:lang w:val="fr-FR"/>
        </w:rPr>
        <w:t>.</w:t>
      </w:r>
    </w:p>
    <w:p w:rsidR="00F84635" w:rsidRPr="00F40FBE" w:rsidRDefault="00F84635" w:rsidP="00F40FBE">
      <w:pPr>
        <w:pStyle w:val="ECHRHeading2"/>
        <w:rPr>
          <w:lang w:val="fr-FR"/>
        </w:rPr>
      </w:pPr>
      <w:r w:rsidRPr="00F40FBE">
        <w:rPr>
          <w:lang w:val="fr-FR"/>
        </w:rPr>
        <w:t>C.  Intérêts moratoires</w:t>
      </w:r>
    </w:p>
    <w:p w:rsidR="00F84635" w:rsidRPr="00F40FBE" w:rsidRDefault="003F2FC4" w:rsidP="00F40FBE">
      <w:pPr>
        <w:pStyle w:val="ECHRPara"/>
        <w:rPr>
          <w:lang w:val="fr-FR"/>
        </w:rPr>
      </w:pPr>
      <w:r w:rsidRPr="00F40FBE">
        <w:rPr>
          <w:lang w:val="fr-FR"/>
        </w:rPr>
        <w:fldChar w:fldCharType="begin"/>
      </w:r>
      <w:r w:rsidRPr="00F40FBE">
        <w:rPr>
          <w:lang w:val="fr-FR"/>
        </w:rPr>
        <w:instrText xml:space="preserve"> SEQ level0 \*arabic </w:instrText>
      </w:r>
      <w:r w:rsidRPr="00F40FBE">
        <w:rPr>
          <w:lang w:val="fr-FR"/>
        </w:rPr>
        <w:fldChar w:fldCharType="separate"/>
      </w:r>
      <w:r w:rsidR="00F40FBE" w:rsidRPr="00F40FBE">
        <w:rPr>
          <w:noProof/>
          <w:lang w:val="fr-FR"/>
        </w:rPr>
        <w:t>57</w:t>
      </w:r>
      <w:r w:rsidRPr="00F40FBE">
        <w:rPr>
          <w:lang w:val="fr-FR"/>
        </w:rPr>
        <w:fldChar w:fldCharType="end"/>
      </w:r>
      <w:r w:rsidR="00F84635" w:rsidRPr="00F40FBE">
        <w:rPr>
          <w:lang w:val="fr-FR"/>
        </w:rPr>
        <w:t>.  La Cour juge approprié de calquer le taux des intérêts moratoires sur le taux d</w:t>
      </w:r>
      <w:r w:rsidR="00F40FBE" w:rsidRPr="00F40FBE">
        <w:rPr>
          <w:lang w:val="fr-FR"/>
        </w:rPr>
        <w:t>’</w:t>
      </w:r>
      <w:r w:rsidR="00F84635" w:rsidRPr="00F40FBE">
        <w:rPr>
          <w:lang w:val="fr-FR"/>
        </w:rPr>
        <w:t>intérêt de la facilité de prêt marginal de la Banque centrale européenne majoré de trois points de pourcentage.</w:t>
      </w:r>
    </w:p>
    <w:p w:rsidR="00C33B3E" w:rsidRPr="00F40FBE" w:rsidRDefault="00F84635" w:rsidP="00F40FBE">
      <w:pPr>
        <w:pStyle w:val="ECHRTitle1"/>
        <w:rPr>
          <w:lang w:val="fr-FR"/>
        </w:rPr>
      </w:pPr>
      <w:r w:rsidRPr="00F40FBE">
        <w:rPr>
          <w:lang w:val="fr-FR"/>
        </w:rPr>
        <w:t>PAR CES MOTIFS, LA COUR</w:t>
      </w:r>
    </w:p>
    <w:p w:rsidR="00D6653D" w:rsidRPr="00F40FBE" w:rsidRDefault="00D6653D" w:rsidP="00F40FBE">
      <w:pPr>
        <w:pStyle w:val="JuList"/>
        <w:rPr>
          <w:lang w:val="fr-FR"/>
        </w:rPr>
      </w:pPr>
      <w:r w:rsidRPr="00F40FBE">
        <w:rPr>
          <w:lang w:val="fr-FR"/>
        </w:rPr>
        <w:t>1.  </w:t>
      </w:r>
      <w:r w:rsidRPr="00F40FBE">
        <w:rPr>
          <w:i/>
          <w:lang w:val="fr-FR"/>
        </w:rPr>
        <w:t>Déclare</w:t>
      </w:r>
      <w:r w:rsidR="003F2FC4" w:rsidRPr="00F40FBE">
        <w:rPr>
          <w:lang w:val="fr-FR"/>
        </w:rPr>
        <w:t>, à l</w:t>
      </w:r>
      <w:r w:rsidR="00F40FBE" w:rsidRPr="00F40FBE">
        <w:rPr>
          <w:lang w:val="fr-FR"/>
        </w:rPr>
        <w:t>’</w:t>
      </w:r>
      <w:r w:rsidR="003F2FC4" w:rsidRPr="00F40FBE">
        <w:rPr>
          <w:lang w:val="fr-FR"/>
        </w:rPr>
        <w:t>unanimité, la requête recevable</w:t>
      </w:r>
      <w:r w:rsidRPr="00F40FBE">
        <w:rPr>
          <w:lang w:val="fr-FR"/>
        </w:rPr>
        <w:t> ;</w:t>
      </w:r>
    </w:p>
    <w:p w:rsidR="00F84635" w:rsidRPr="00F40FBE" w:rsidRDefault="00F84635" w:rsidP="00F40FBE">
      <w:pPr>
        <w:pStyle w:val="JuList"/>
        <w:rPr>
          <w:lang w:val="fr-FR"/>
        </w:rPr>
      </w:pPr>
    </w:p>
    <w:p w:rsidR="00F84635" w:rsidRPr="00F40FBE" w:rsidRDefault="0018635A" w:rsidP="00F40FBE">
      <w:pPr>
        <w:pStyle w:val="JuList"/>
        <w:rPr>
          <w:lang w:val="fr-FR"/>
        </w:rPr>
      </w:pPr>
      <w:r w:rsidRPr="00F40FBE">
        <w:rPr>
          <w:lang w:val="fr-FR"/>
        </w:rPr>
        <w:t>2</w:t>
      </w:r>
      <w:r w:rsidR="00F84635" w:rsidRPr="00F40FBE">
        <w:rPr>
          <w:lang w:val="fr-FR"/>
        </w:rPr>
        <w:t>.  </w:t>
      </w:r>
      <w:r w:rsidR="00F84635" w:rsidRPr="00F40FBE">
        <w:rPr>
          <w:i/>
          <w:lang w:val="fr-FR"/>
        </w:rPr>
        <w:t>Dit</w:t>
      </w:r>
      <w:r w:rsidR="003F2FC4" w:rsidRPr="00F40FBE">
        <w:rPr>
          <w:lang w:val="fr-FR"/>
        </w:rPr>
        <w:t xml:space="preserve">, par </w:t>
      </w:r>
      <w:r w:rsidR="00902CF4" w:rsidRPr="00F40FBE">
        <w:rPr>
          <w:lang w:val="fr-FR"/>
        </w:rPr>
        <w:t>six</w:t>
      </w:r>
      <w:r w:rsidR="003F2FC4" w:rsidRPr="00F40FBE">
        <w:rPr>
          <w:lang w:val="fr-FR"/>
        </w:rPr>
        <w:t xml:space="preserve"> voix contre </w:t>
      </w:r>
      <w:r w:rsidR="00902CF4" w:rsidRPr="00F40FBE">
        <w:rPr>
          <w:lang w:val="fr-FR"/>
        </w:rPr>
        <w:t>une</w:t>
      </w:r>
      <w:r w:rsidR="003F2FC4" w:rsidRPr="00F40FBE">
        <w:rPr>
          <w:lang w:val="fr-FR"/>
        </w:rPr>
        <w:t xml:space="preserve">, </w:t>
      </w:r>
      <w:r w:rsidR="00F84635" w:rsidRPr="00F40FBE">
        <w:rPr>
          <w:lang w:val="fr-FR"/>
        </w:rPr>
        <w:t>qu</w:t>
      </w:r>
      <w:r w:rsidR="00F40FBE" w:rsidRPr="00F40FBE">
        <w:rPr>
          <w:lang w:val="fr-FR"/>
        </w:rPr>
        <w:t>’</w:t>
      </w:r>
      <w:r w:rsidR="00F84635" w:rsidRPr="00F40FBE">
        <w:rPr>
          <w:lang w:val="fr-FR"/>
        </w:rPr>
        <w:t>il y a eu violation de l</w:t>
      </w:r>
      <w:r w:rsidR="00F40FBE" w:rsidRPr="00F40FBE">
        <w:rPr>
          <w:lang w:val="fr-FR"/>
        </w:rPr>
        <w:t>’</w:t>
      </w:r>
      <w:r w:rsidR="00F84635" w:rsidRPr="00F40FBE">
        <w:rPr>
          <w:lang w:val="fr-FR"/>
        </w:rPr>
        <w:t>article 6 § 1 de la Convention ;</w:t>
      </w:r>
    </w:p>
    <w:p w:rsidR="00F84635" w:rsidRPr="00F40FBE" w:rsidRDefault="00F84635" w:rsidP="00F40FBE">
      <w:pPr>
        <w:pStyle w:val="JuList"/>
        <w:rPr>
          <w:lang w:val="fr-FR"/>
        </w:rPr>
      </w:pPr>
    </w:p>
    <w:p w:rsidR="003F2FC4" w:rsidRPr="00F40FBE" w:rsidRDefault="003F2FC4" w:rsidP="00F40FBE">
      <w:pPr>
        <w:pStyle w:val="JuList"/>
        <w:rPr>
          <w:lang w:val="fr-FR"/>
        </w:rPr>
      </w:pPr>
      <w:r w:rsidRPr="00F40FBE">
        <w:rPr>
          <w:lang w:val="fr-FR"/>
        </w:rPr>
        <w:lastRenderedPageBreak/>
        <w:t>3.  </w:t>
      </w:r>
      <w:r w:rsidRPr="00F40FBE">
        <w:rPr>
          <w:i/>
          <w:lang w:val="fr-FR"/>
        </w:rPr>
        <w:t>Dit</w:t>
      </w:r>
      <w:r w:rsidRPr="00F40FBE">
        <w:rPr>
          <w:lang w:val="fr-FR"/>
        </w:rPr>
        <w:t xml:space="preserve">, par </w:t>
      </w:r>
      <w:r w:rsidR="00902CF4" w:rsidRPr="00F40FBE">
        <w:rPr>
          <w:lang w:val="fr-FR"/>
        </w:rPr>
        <w:t>six</w:t>
      </w:r>
      <w:r w:rsidRPr="00F40FBE">
        <w:rPr>
          <w:lang w:val="fr-FR"/>
        </w:rPr>
        <w:t xml:space="preserve"> voix contre </w:t>
      </w:r>
      <w:r w:rsidR="00902CF4" w:rsidRPr="00F40FBE">
        <w:rPr>
          <w:lang w:val="fr-FR"/>
        </w:rPr>
        <w:t>une</w:t>
      </w:r>
      <w:r w:rsidRPr="00F40FBE">
        <w:rPr>
          <w:lang w:val="fr-FR"/>
        </w:rPr>
        <w:t>, qu</w:t>
      </w:r>
      <w:r w:rsidR="00F40FBE" w:rsidRPr="00F40FBE">
        <w:rPr>
          <w:lang w:val="fr-FR"/>
        </w:rPr>
        <w:t>’</w:t>
      </w:r>
      <w:r w:rsidRPr="00F40FBE">
        <w:rPr>
          <w:lang w:val="fr-FR"/>
        </w:rPr>
        <w:t>il y a eu violation de l</w:t>
      </w:r>
      <w:r w:rsidR="00F40FBE" w:rsidRPr="00F40FBE">
        <w:rPr>
          <w:lang w:val="fr-FR"/>
        </w:rPr>
        <w:t>’</w:t>
      </w:r>
      <w:r w:rsidRPr="00F40FBE">
        <w:rPr>
          <w:lang w:val="fr-FR"/>
        </w:rPr>
        <w:t>article 13 de la Convention ;</w:t>
      </w:r>
    </w:p>
    <w:p w:rsidR="003F2FC4" w:rsidRPr="00F40FBE" w:rsidRDefault="003F2FC4" w:rsidP="00F40FBE">
      <w:pPr>
        <w:pStyle w:val="JuList"/>
        <w:rPr>
          <w:lang w:val="fr-FR"/>
        </w:rPr>
      </w:pPr>
    </w:p>
    <w:p w:rsidR="00F84635" w:rsidRPr="00F40FBE" w:rsidRDefault="0018635A" w:rsidP="00F40FBE">
      <w:pPr>
        <w:pStyle w:val="JuList"/>
        <w:rPr>
          <w:lang w:val="fr-FR"/>
        </w:rPr>
      </w:pPr>
      <w:r w:rsidRPr="00F40FBE">
        <w:rPr>
          <w:lang w:val="fr-FR"/>
        </w:rPr>
        <w:t>4</w:t>
      </w:r>
      <w:r w:rsidR="00F84635" w:rsidRPr="00F40FBE">
        <w:rPr>
          <w:lang w:val="fr-FR"/>
        </w:rPr>
        <w:t>.  </w:t>
      </w:r>
      <w:r w:rsidR="00F84635" w:rsidRPr="00F40FBE">
        <w:rPr>
          <w:i/>
          <w:lang w:val="fr-FR"/>
        </w:rPr>
        <w:t>Dit</w:t>
      </w:r>
      <w:r w:rsidR="003F2FC4" w:rsidRPr="00F40FBE">
        <w:rPr>
          <w:lang w:val="fr-FR"/>
        </w:rPr>
        <w:t xml:space="preserve">, </w:t>
      </w:r>
      <w:r w:rsidR="00902CF4" w:rsidRPr="00F40FBE">
        <w:rPr>
          <w:lang w:val="fr-FR"/>
        </w:rPr>
        <w:t>par six voix contre une</w:t>
      </w:r>
      <w:r w:rsidR="003F2FC4" w:rsidRPr="00F40FBE">
        <w:rPr>
          <w:lang w:val="fr-FR"/>
        </w:rPr>
        <w:t>,</w:t>
      </w:r>
    </w:p>
    <w:p w:rsidR="00F84635" w:rsidRPr="00F40FBE" w:rsidRDefault="00F84635" w:rsidP="00F40FBE">
      <w:pPr>
        <w:pStyle w:val="JuLista"/>
        <w:rPr>
          <w:lang w:val="fr-FR"/>
        </w:rPr>
      </w:pPr>
      <w:r w:rsidRPr="00F40FBE">
        <w:rPr>
          <w:lang w:val="fr-FR"/>
        </w:rPr>
        <w:t>a)  que l</w:t>
      </w:r>
      <w:r w:rsidR="00F40FBE" w:rsidRPr="00F40FBE">
        <w:rPr>
          <w:lang w:val="fr-FR"/>
        </w:rPr>
        <w:t>’</w:t>
      </w:r>
      <w:r w:rsidRPr="00F40FBE">
        <w:rPr>
          <w:lang w:val="fr-FR"/>
        </w:rPr>
        <w:t xml:space="preserve">État défendeur doit verser </w:t>
      </w:r>
      <w:r w:rsidR="003F2FC4" w:rsidRPr="00F40FBE">
        <w:rPr>
          <w:lang w:val="fr-FR"/>
        </w:rPr>
        <w:t>au requérant</w:t>
      </w:r>
      <w:r w:rsidRPr="00F40FBE">
        <w:rPr>
          <w:lang w:val="fr-FR"/>
        </w:rPr>
        <w:t>, dans les trois mois</w:t>
      </w:r>
      <w:r w:rsidR="00A33228" w:rsidRPr="00F40FBE">
        <w:rPr>
          <w:lang w:val="fr-FR"/>
        </w:rPr>
        <w:t xml:space="preserve"> </w:t>
      </w:r>
      <w:r w:rsidR="003F2FC4" w:rsidRPr="00F40FBE">
        <w:rPr>
          <w:lang w:val="fr-FR"/>
        </w:rPr>
        <w:t>à compter du jour où l</w:t>
      </w:r>
      <w:r w:rsidR="00F40FBE" w:rsidRPr="00F40FBE">
        <w:rPr>
          <w:lang w:val="fr-FR"/>
        </w:rPr>
        <w:t>’</w:t>
      </w:r>
      <w:r w:rsidR="003F2FC4" w:rsidRPr="00F40FBE">
        <w:rPr>
          <w:lang w:val="fr-FR"/>
        </w:rPr>
        <w:t>arrêt sera devenu définitif conformément à l</w:t>
      </w:r>
      <w:r w:rsidR="00F40FBE" w:rsidRPr="00F40FBE">
        <w:rPr>
          <w:lang w:val="fr-FR"/>
        </w:rPr>
        <w:t>’</w:t>
      </w:r>
      <w:r w:rsidR="003F2FC4" w:rsidRPr="00F40FBE">
        <w:rPr>
          <w:lang w:val="fr-FR"/>
        </w:rPr>
        <w:t>article 44 § 2 de la Convention</w:t>
      </w:r>
      <w:r w:rsidRPr="00F40FBE">
        <w:rPr>
          <w:lang w:val="fr-FR"/>
        </w:rPr>
        <w:t>, les sommes suivantes</w:t>
      </w:r>
      <w:r w:rsidR="00A33228" w:rsidRPr="00F40FBE">
        <w:rPr>
          <w:lang w:val="fr-FR"/>
        </w:rPr>
        <w:t> :</w:t>
      </w:r>
    </w:p>
    <w:p w:rsidR="00F84635" w:rsidRPr="00F40FBE" w:rsidRDefault="00F84635" w:rsidP="00F40FBE">
      <w:pPr>
        <w:pStyle w:val="JuListi"/>
        <w:rPr>
          <w:lang w:val="fr-FR" w:eastAsia="en-GB"/>
        </w:rPr>
      </w:pPr>
      <w:r w:rsidRPr="00F40FBE">
        <w:rPr>
          <w:lang w:val="fr-FR" w:eastAsia="en-GB"/>
        </w:rPr>
        <w:t>i</w:t>
      </w:r>
      <w:r w:rsidR="0004228A" w:rsidRPr="00F40FBE">
        <w:rPr>
          <w:lang w:val="fr-FR" w:eastAsia="en-GB"/>
        </w:rPr>
        <w:t>.</w:t>
      </w:r>
      <w:r w:rsidRPr="00F40FBE">
        <w:rPr>
          <w:lang w:val="fr-FR" w:eastAsia="en-GB"/>
        </w:rPr>
        <w:t>  </w:t>
      </w:r>
      <w:r w:rsidR="00A33228" w:rsidRPr="00F40FBE">
        <w:rPr>
          <w:lang w:val="fr-FR" w:eastAsia="en-GB"/>
        </w:rPr>
        <w:t>2</w:t>
      </w:r>
      <w:r w:rsidR="00CB330A" w:rsidRPr="00F40FBE">
        <w:rPr>
          <w:lang w:val="fr-FR" w:eastAsia="en-GB"/>
        </w:rPr>
        <w:t>4</w:t>
      </w:r>
      <w:r w:rsidR="00E027C2" w:rsidRPr="00F40FBE">
        <w:rPr>
          <w:lang w:val="fr-FR" w:eastAsia="en-GB"/>
        </w:rPr>
        <w:t> </w:t>
      </w:r>
      <w:r w:rsidR="00A33228" w:rsidRPr="00F40FBE">
        <w:rPr>
          <w:lang w:val="fr-FR" w:eastAsia="en-GB"/>
        </w:rPr>
        <w:t>000</w:t>
      </w:r>
      <w:r w:rsidRPr="00F40FBE">
        <w:rPr>
          <w:lang w:val="fr-FR" w:eastAsia="en-GB"/>
        </w:rPr>
        <w:t xml:space="preserve"> EUR (</w:t>
      </w:r>
      <w:r w:rsidR="00A33228" w:rsidRPr="00F40FBE">
        <w:rPr>
          <w:lang w:val="fr-FR" w:eastAsia="en-GB"/>
        </w:rPr>
        <w:t>vingt-</w:t>
      </w:r>
      <w:r w:rsidR="00CB330A" w:rsidRPr="00F40FBE">
        <w:rPr>
          <w:lang w:val="fr-FR" w:eastAsia="en-GB"/>
        </w:rPr>
        <w:t>quatre</w:t>
      </w:r>
      <w:r w:rsidR="00A33228" w:rsidRPr="00F40FBE">
        <w:rPr>
          <w:lang w:val="fr-FR" w:eastAsia="en-GB"/>
        </w:rPr>
        <w:t xml:space="preserve"> mille </w:t>
      </w:r>
      <w:r w:rsidRPr="00F40FBE">
        <w:rPr>
          <w:lang w:val="fr-FR" w:eastAsia="en-GB"/>
        </w:rPr>
        <w:t>euros), plus tout montant pouvant être dû à titre d</w:t>
      </w:r>
      <w:r w:rsidR="00F40FBE" w:rsidRPr="00F40FBE">
        <w:rPr>
          <w:lang w:val="fr-FR" w:eastAsia="en-GB"/>
        </w:rPr>
        <w:t>’</w:t>
      </w:r>
      <w:r w:rsidRPr="00F40FBE">
        <w:rPr>
          <w:lang w:val="fr-FR" w:eastAsia="en-GB"/>
        </w:rPr>
        <w:t>impôt, pour dommage moral</w:t>
      </w:r>
      <w:r w:rsidR="00E027C2" w:rsidRPr="00F40FBE">
        <w:rPr>
          <w:lang w:val="fr-FR" w:eastAsia="en-GB"/>
        </w:rPr>
        <w:t>,</w:t>
      </w:r>
    </w:p>
    <w:p w:rsidR="00F84635" w:rsidRPr="00F40FBE" w:rsidRDefault="00F84635" w:rsidP="00F40FBE">
      <w:pPr>
        <w:pStyle w:val="JuListi"/>
        <w:rPr>
          <w:lang w:val="fr-FR" w:eastAsia="en-GB"/>
        </w:rPr>
      </w:pPr>
      <w:r w:rsidRPr="00F40FBE">
        <w:rPr>
          <w:lang w:val="fr-FR" w:eastAsia="en-GB"/>
        </w:rPr>
        <w:t>ii</w:t>
      </w:r>
      <w:r w:rsidR="0004228A" w:rsidRPr="00F40FBE">
        <w:rPr>
          <w:lang w:val="fr-FR" w:eastAsia="en-GB"/>
        </w:rPr>
        <w:t>.</w:t>
      </w:r>
      <w:r w:rsidRPr="00F40FBE">
        <w:rPr>
          <w:lang w:val="fr-FR" w:eastAsia="en-GB"/>
        </w:rPr>
        <w:t>  </w:t>
      </w:r>
      <w:r w:rsidR="00A33228" w:rsidRPr="00F40FBE">
        <w:rPr>
          <w:lang w:val="fr-FR" w:eastAsia="en-GB"/>
        </w:rPr>
        <w:t>2</w:t>
      </w:r>
      <w:r w:rsidR="00E027C2" w:rsidRPr="00F40FBE">
        <w:rPr>
          <w:lang w:val="fr-FR" w:eastAsia="en-GB"/>
        </w:rPr>
        <w:t> </w:t>
      </w:r>
      <w:r w:rsidR="00A33228" w:rsidRPr="00F40FBE">
        <w:rPr>
          <w:lang w:val="fr-FR" w:eastAsia="en-GB"/>
        </w:rPr>
        <w:t>500</w:t>
      </w:r>
      <w:r w:rsidRPr="00F40FBE">
        <w:rPr>
          <w:lang w:val="fr-FR" w:eastAsia="en-GB"/>
        </w:rPr>
        <w:t xml:space="preserve"> EUR (</w:t>
      </w:r>
      <w:r w:rsidR="00A33228" w:rsidRPr="00F40FBE">
        <w:rPr>
          <w:lang w:val="fr-FR" w:eastAsia="en-GB"/>
        </w:rPr>
        <w:t>deux mille cinq cents</w:t>
      </w:r>
      <w:r w:rsidRPr="00F40FBE">
        <w:rPr>
          <w:lang w:val="fr-FR" w:eastAsia="en-GB"/>
        </w:rPr>
        <w:t xml:space="preserve"> euros), plus tout montant </w:t>
      </w:r>
      <w:r w:rsidR="00E06EA7" w:rsidRPr="00F40FBE">
        <w:rPr>
          <w:lang w:val="fr-FR" w:eastAsia="en-GB"/>
        </w:rPr>
        <w:t xml:space="preserve">pouvant être dû par </w:t>
      </w:r>
      <w:r w:rsidR="003F2FC4" w:rsidRPr="00F40FBE">
        <w:rPr>
          <w:lang w:val="fr-FR"/>
        </w:rPr>
        <w:t>le requérant</w:t>
      </w:r>
      <w:r w:rsidR="00E06EA7" w:rsidRPr="00F40FBE">
        <w:rPr>
          <w:lang w:val="fr-FR" w:eastAsia="en-GB"/>
        </w:rPr>
        <w:t xml:space="preserve"> à titre d</w:t>
      </w:r>
      <w:r w:rsidR="00F40FBE" w:rsidRPr="00F40FBE">
        <w:rPr>
          <w:lang w:val="fr-FR" w:eastAsia="en-GB"/>
        </w:rPr>
        <w:t>’</w:t>
      </w:r>
      <w:r w:rsidR="00E06EA7" w:rsidRPr="00F40FBE">
        <w:rPr>
          <w:lang w:val="fr-FR" w:eastAsia="en-GB"/>
        </w:rPr>
        <w:t>impôt, pour frais et dépens</w:t>
      </w:r>
      <w:r w:rsidRPr="00F40FBE">
        <w:rPr>
          <w:lang w:val="fr-FR" w:eastAsia="en-GB"/>
        </w:rPr>
        <w:t> ;</w:t>
      </w:r>
    </w:p>
    <w:p w:rsidR="00F84635" w:rsidRPr="00F40FBE" w:rsidRDefault="00F84635" w:rsidP="00F40FBE">
      <w:pPr>
        <w:pStyle w:val="JuLista"/>
        <w:rPr>
          <w:lang w:val="fr-FR"/>
        </w:rPr>
      </w:pPr>
      <w:r w:rsidRPr="00F40FBE">
        <w:rPr>
          <w:lang w:val="fr-FR"/>
        </w:rPr>
        <w:t>b)  qu</w:t>
      </w:r>
      <w:r w:rsidR="00F40FBE" w:rsidRPr="00F40FBE">
        <w:rPr>
          <w:lang w:val="fr-FR"/>
        </w:rPr>
        <w:t>’</w:t>
      </w:r>
      <w:r w:rsidRPr="00F40FBE">
        <w:rPr>
          <w:lang w:val="fr-FR"/>
        </w:rPr>
        <w:t>à compter de l</w:t>
      </w:r>
      <w:r w:rsidR="00F40FBE" w:rsidRPr="00F40FBE">
        <w:rPr>
          <w:lang w:val="fr-FR"/>
        </w:rPr>
        <w:t>’</w:t>
      </w:r>
      <w:r w:rsidRPr="00F40FBE">
        <w:rPr>
          <w:lang w:val="fr-FR"/>
        </w:rPr>
        <w:t>expiration dudit délai et jusqu</w:t>
      </w:r>
      <w:r w:rsidR="00F40FBE" w:rsidRPr="00F40FBE">
        <w:rPr>
          <w:lang w:val="fr-FR"/>
        </w:rPr>
        <w:t>’</w:t>
      </w:r>
      <w:r w:rsidRPr="00F40FBE">
        <w:rPr>
          <w:lang w:val="fr-FR"/>
        </w:rPr>
        <w:t>au versement, ces montants seront à majorer d</w:t>
      </w:r>
      <w:r w:rsidR="00F40FBE" w:rsidRPr="00F40FBE">
        <w:rPr>
          <w:lang w:val="fr-FR"/>
        </w:rPr>
        <w:t>’</w:t>
      </w:r>
      <w:r w:rsidRPr="00F40FBE">
        <w:rPr>
          <w:lang w:val="fr-FR"/>
        </w:rPr>
        <w:t>un intérêt simple à un taux égal à celui de la facilité de prêt marginal de la Banque centrale européenne applicable pendant cette période, augmenté de trois points de pourcentage ;</w:t>
      </w:r>
    </w:p>
    <w:p w:rsidR="00F84635" w:rsidRPr="00F40FBE" w:rsidRDefault="00F84635" w:rsidP="00F40FBE">
      <w:pPr>
        <w:pStyle w:val="JuLista"/>
        <w:rPr>
          <w:lang w:val="fr-FR"/>
        </w:rPr>
      </w:pPr>
    </w:p>
    <w:p w:rsidR="00F84635" w:rsidRPr="00F40FBE" w:rsidRDefault="00A33228" w:rsidP="00F40FBE">
      <w:pPr>
        <w:pStyle w:val="JuList"/>
        <w:rPr>
          <w:lang w:val="fr-FR"/>
        </w:rPr>
      </w:pPr>
      <w:r w:rsidRPr="00F40FBE">
        <w:rPr>
          <w:lang w:val="fr-FR"/>
        </w:rPr>
        <w:t>5</w:t>
      </w:r>
      <w:r w:rsidR="00F84635" w:rsidRPr="00F40FBE">
        <w:rPr>
          <w:lang w:val="fr-FR"/>
        </w:rPr>
        <w:t>.  </w:t>
      </w:r>
      <w:r w:rsidR="00F84635" w:rsidRPr="00F40FBE">
        <w:rPr>
          <w:i/>
          <w:lang w:val="fr-FR"/>
        </w:rPr>
        <w:t>Rejette</w:t>
      </w:r>
      <w:r w:rsidR="003F2FC4" w:rsidRPr="00F40FBE">
        <w:rPr>
          <w:lang w:val="fr-FR"/>
        </w:rPr>
        <w:t>, à l</w:t>
      </w:r>
      <w:r w:rsidR="00F40FBE" w:rsidRPr="00F40FBE">
        <w:rPr>
          <w:lang w:val="fr-FR"/>
        </w:rPr>
        <w:t>’</w:t>
      </w:r>
      <w:r w:rsidR="003F2FC4" w:rsidRPr="00F40FBE">
        <w:rPr>
          <w:lang w:val="fr-FR"/>
        </w:rPr>
        <w:t xml:space="preserve">unanimité, </w:t>
      </w:r>
      <w:r w:rsidR="00F84635" w:rsidRPr="00F40FBE">
        <w:rPr>
          <w:lang w:val="fr-FR"/>
        </w:rPr>
        <w:t>la demande de satisfaction équitable pour le surplus.</w:t>
      </w:r>
    </w:p>
    <w:p w:rsidR="00F84635" w:rsidRPr="00F40FBE" w:rsidRDefault="00F84635" w:rsidP="00F40FBE">
      <w:pPr>
        <w:pStyle w:val="JuParaLast"/>
        <w:rPr>
          <w:lang w:val="fr-FR"/>
        </w:rPr>
      </w:pPr>
      <w:r w:rsidRPr="00F40FBE">
        <w:rPr>
          <w:lang w:val="fr-FR"/>
        </w:rPr>
        <w:t xml:space="preserve">Fait en français, puis communiqué par écrit le </w:t>
      </w:r>
      <w:r w:rsidR="00902CF4" w:rsidRPr="00F40FBE">
        <w:rPr>
          <w:lang w:val="fr-FR"/>
        </w:rPr>
        <w:t>11 janvier 2018</w:t>
      </w:r>
      <w:r w:rsidRPr="00F40FBE">
        <w:rPr>
          <w:lang w:val="fr-FR"/>
        </w:rPr>
        <w:t>, en application de l</w:t>
      </w:r>
      <w:r w:rsidR="00F40FBE" w:rsidRPr="00F40FBE">
        <w:rPr>
          <w:lang w:val="fr-FR"/>
        </w:rPr>
        <w:t>’</w:t>
      </w:r>
      <w:r w:rsidRPr="00F40FBE">
        <w:rPr>
          <w:lang w:val="fr-FR"/>
        </w:rPr>
        <w:t>article 77 §§ 2 et 3 du règlement</w:t>
      </w:r>
      <w:r w:rsidR="00BB4B9E" w:rsidRPr="00F40FBE">
        <w:rPr>
          <w:lang w:val="fr-FR"/>
        </w:rPr>
        <w:t xml:space="preserve"> de la Cour</w:t>
      </w:r>
      <w:r w:rsidRPr="00F40FBE">
        <w:rPr>
          <w:lang w:val="fr-FR"/>
        </w:rPr>
        <w:t>.</w:t>
      </w:r>
    </w:p>
    <w:p w:rsidR="00F84635" w:rsidRPr="00F40FBE" w:rsidRDefault="003F2FC4" w:rsidP="00F40FBE">
      <w:pPr>
        <w:pStyle w:val="JuSigned"/>
        <w:keepNext/>
        <w:keepLines/>
        <w:tabs>
          <w:tab w:val="clear" w:pos="6407"/>
          <w:tab w:val="center" w:pos="6096"/>
        </w:tabs>
        <w:rPr>
          <w:lang w:val="fr-FR"/>
        </w:rPr>
      </w:pPr>
      <w:r w:rsidRPr="00F40FBE">
        <w:rPr>
          <w:lang w:val="fr-FR"/>
        </w:rPr>
        <w:tab/>
        <w:t>Abel Campos</w:t>
      </w:r>
      <w:r w:rsidR="00F84635" w:rsidRPr="00F40FBE">
        <w:rPr>
          <w:lang w:val="fr-FR"/>
        </w:rPr>
        <w:tab/>
      </w:r>
      <w:r w:rsidRPr="00F40FBE">
        <w:rPr>
          <w:szCs w:val="24"/>
          <w:lang w:val="fr-FR"/>
        </w:rPr>
        <w:t>Linos-Alexandre Sicilianos</w:t>
      </w:r>
      <w:r w:rsidR="00F84635" w:rsidRPr="00F40FBE">
        <w:rPr>
          <w:lang w:val="fr-FR"/>
        </w:rPr>
        <w:br/>
      </w:r>
      <w:r w:rsidR="00F84635" w:rsidRPr="00F40FBE">
        <w:rPr>
          <w:lang w:val="fr-FR"/>
        </w:rPr>
        <w:tab/>
      </w:r>
      <w:r w:rsidRPr="00F40FBE">
        <w:rPr>
          <w:lang w:val="fr-FR"/>
        </w:rPr>
        <w:t>Greffier</w:t>
      </w:r>
      <w:r w:rsidR="00F84635" w:rsidRPr="00F40FBE">
        <w:rPr>
          <w:lang w:val="fr-FR"/>
        </w:rPr>
        <w:tab/>
      </w:r>
      <w:r w:rsidRPr="00F40FBE">
        <w:rPr>
          <w:lang w:val="fr-FR"/>
        </w:rPr>
        <w:t>Président</w:t>
      </w:r>
    </w:p>
    <w:p w:rsidR="00694553" w:rsidRPr="00F40FBE" w:rsidRDefault="00694553" w:rsidP="00F40FBE">
      <w:pPr>
        <w:pStyle w:val="JuParaLast"/>
        <w:rPr>
          <w:lang w:val="fr-FR"/>
        </w:rPr>
      </w:pPr>
    </w:p>
    <w:p w:rsidR="00F4782C" w:rsidRPr="00F40FBE" w:rsidRDefault="00920445" w:rsidP="00F40FBE">
      <w:pPr>
        <w:pStyle w:val="JuParaLast"/>
        <w:rPr>
          <w:lang w:val="fr-FR"/>
        </w:rPr>
      </w:pPr>
      <w:r w:rsidRPr="00F40FBE">
        <w:rPr>
          <w:lang w:val="fr-FR"/>
        </w:rPr>
        <w:t>Au présent arrêt se trouve joint, conformément aux articles 45 § 2 de la Convention et 74 § 2 du règlement, l</w:t>
      </w:r>
      <w:r w:rsidR="00F40FBE" w:rsidRPr="00F40FBE">
        <w:rPr>
          <w:lang w:val="fr-FR"/>
        </w:rPr>
        <w:t>’</w:t>
      </w:r>
      <w:r w:rsidRPr="00F40FBE">
        <w:rPr>
          <w:lang w:val="fr-FR"/>
        </w:rPr>
        <w:t>exposé de</w:t>
      </w:r>
      <w:r w:rsidR="00F4782C" w:rsidRPr="00F40FBE">
        <w:rPr>
          <w:lang w:val="fr-FR"/>
        </w:rPr>
        <w:t xml:space="preserve">s </w:t>
      </w:r>
      <w:r w:rsidRPr="00F40FBE">
        <w:rPr>
          <w:lang w:val="fr-FR"/>
        </w:rPr>
        <w:t>opinion</w:t>
      </w:r>
      <w:r w:rsidR="00F4782C" w:rsidRPr="00F40FBE">
        <w:rPr>
          <w:lang w:val="fr-FR"/>
        </w:rPr>
        <w:t>s</w:t>
      </w:r>
      <w:r w:rsidRPr="00F40FBE">
        <w:rPr>
          <w:lang w:val="fr-FR"/>
        </w:rPr>
        <w:t xml:space="preserve"> séparée</w:t>
      </w:r>
      <w:r w:rsidR="00F4782C" w:rsidRPr="00F40FBE">
        <w:rPr>
          <w:lang w:val="fr-FR"/>
        </w:rPr>
        <w:t>s suivantes :</w:t>
      </w:r>
    </w:p>
    <w:p w:rsidR="0071695F" w:rsidRPr="00F40FBE" w:rsidRDefault="00F4782C" w:rsidP="00F40FBE">
      <w:pPr>
        <w:pStyle w:val="ECHRPara"/>
        <w:rPr>
          <w:lang w:val="fr-FR"/>
        </w:rPr>
      </w:pPr>
      <w:r w:rsidRPr="00F40FBE">
        <w:rPr>
          <w:lang w:val="fr-FR"/>
        </w:rPr>
        <w:t>- opinion concordante d</w:t>
      </w:r>
      <w:r w:rsidR="00C03FF6" w:rsidRPr="00F40FBE">
        <w:rPr>
          <w:lang w:val="fr-FR"/>
        </w:rPr>
        <w:t>e la</w:t>
      </w:r>
      <w:r w:rsidRPr="00F40FBE">
        <w:rPr>
          <w:lang w:val="fr-FR"/>
        </w:rPr>
        <w:t xml:space="preserve"> juge Koskelo ;</w:t>
      </w:r>
    </w:p>
    <w:p w:rsidR="00920445" w:rsidRPr="00F40FBE" w:rsidRDefault="00F4782C" w:rsidP="00F40FBE">
      <w:pPr>
        <w:pStyle w:val="ECHRPara"/>
        <w:rPr>
          <w:lang w:val="fr-FR"/>
        </w:rPr>
      </w:pPr>
      <w:r w:rsidRPr="00F40FBE">
        <w:rPr>
          <w:lang w:val="fr-FR"/>
        </w:rPr>
        <w:t>- opinion dissidente du juge Wojtyczek</w:t>
      </w:r>
      <w:r w:rsidR="0071695F" w:rsidRPr="00F40FBE">
        <w:rPr>
          <w:lang w:val="fr-FR"/>
        </w:rPr>
        <w:t>.</w:t>
      </w:r>
    </w:p>
    <w:p w:rsidR="00C33B3E" w:rsidRPr="00F40FBE" w:rsidRDefault="005E0B45" w:rsidP="00F40FBE">
      <w:pPr>
        <w:pStyle w:val="JuInitialled"/>
        <w:rPr>
          <w:lang w:val="en-US"/>
        </w:rPr>
      </w:pPr>
      <w:r w:rsidRPr="00F40FBE">
        <w:rPr>
          <w:lang w:val="en-US"/>
        </w:rPr>
        <w:t xml:space="preserve">L.A.S. </w:t>
      </w:r>
      <w:r w:rsidR="00920445" w:rsidRPr="00F40FBE">
        <w:rPr>
          <w:lang w:val="en-US"/>
        </w:rPr>
        <w:br/>
      </w:r>
      <w:r w:rsidRPr="00F40FBE">
        <w:rPr>
          <w:lang w:val="en-US"/>
        </w:rPr>
        <w:t>A.C.</w:t>
      </w:r>
    </w:p>
    <w:p w:rsidR="00F0159E" w:rsidRPr="00F40FBE" w:rsidRDefault="00F0159E" w:rsidP="00F40FBE">
      <w:pPr>
        <w:keepNext/>
        <w:keepLines/>
        <w:spacing w:after="240"/>
        <w:jc w:val="center"/>
        <w:outlineLvl w:val="0"/>
        <w:rPr>
          <w:rFonts w:ascii="Times New Roman" w:eastAsia="Times New Roman" w:hAnsi="Times New Roman" w:cs="Times New Roman"/>
          <w:sz w:val="28"/>
        </w:rPr>
        <w:sectPr w:rsidR="00F0159E" w:rsidRPr="00F40FBE" w:rsidSect="00EE3D89">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p>
    <w:p w:rsidR="00F0159E" w:rsidRPr="00F40FBE" w:rsidRDefault="00F0159E" w:rsidP="00F40FBE">
      <w:pPr>
        <w:pStyle w:val="ECHRTitleCentre1"/>
        <w:rPr>
          <w:rFonts w:eastAsia="Times New Roman"/>
        </w:rPr>
      </w:pPr>
      <w:r w:rsidRPr="00F40FBE">
        <w:rPr>
          <w:rFonts w:eastAsia="Times New Roman"/>
        </w:rPr>
        <w:lastRenderedPageBreak/>
        <w:t>CONCURRING OPINION OF JUDGE KOSKELO</w:t>
      </w:r>
    </w:p>
    <w:p w:rsidR="00F0159E" w:rsidRPr="00F40FBE" w:rsidRDefault="002F53C9" w:rsidP="00F40FBE">
      <w:pPr>
        <w:pStyle w:val="OpiPara"/>
        <w:rPr>
          <w:rFonts w:eastAsia="Times New Roman"/>
        </w:rPr>
      </w:pPr>
      <w:r w:rsidRPr="00F40FBE">
        <w:rPr>
          <w:rFonts w:eastAsia="Times New Roman"/>
        </w:rPr>
        <w:t>1</w:t>
      </w:r>
      <w:r w:rsidR="00F0159E" w:rsidRPr="00F40FBE">
        <w:rPr>
          <w:rFonts w:eastAsia="Times New Roman"/>
        </w:rPr>
        <w:t xml:space="preserve">.  Like my colleagues in the majority, I have voted in favour of the conclusion that Article 6 is applicable in the circumstances of the present case. I have also joined the majority in finding that there has been a violation of Article 6 on account of the excessive duration of the liquidation proceedings. I consider, however, that it is important in the context of Article 6 to note the particularities of insolvency proceedings, because they do have a bearing on the assessment, </w:t>
      </w:r>
      <w:r w:rsidR="00F0159E" w:rsidRPr="00F40FBE">
        <w:rPr>
          <w:rFonts w:eastAsia="Times New Roman"/>
          <w:i/>
        </w:rPr>
        <w:t>inter alia</w:t>
      </w:r>
      <w:r w:rsidR="00F0159E" w:rsidRPr="00F40FBE">
        <w:rPr>
          <w:rFonts w:eastAsia="Times New Roman"/>
        </w:rPr>
        <w:t>, of the reasonable duration of such proceedings and the extent to which the responsibility of the State under that Article may be engaged in this regard.</w:t>
      </w:r>
    </w:p>
    <w:p w:rsidR="00F0159E" w:rsidRPr="00F40FBE" w:rsidRDefault="00F0159E" w:rsidP="00F40FBE">
      <w:pPr>
        <w:pStyle w:val="OpiHi"/>
        <w:rPr>
          <w:rFonts w:eastAsia="Times New Roman"/>
        </w:rPr>
      </w:pPr>
      <w:r w:rsidRPr="00F40FBE">
        <w:rPr>
          <w:rFonts w:eastAsia="Times New Roman"/>
        </w:rPr>
        <w:t>General remarks</w:t>
      </w:r>
    </w:p>
    <w:p w:rsidR="00A71776" w:rsidRPr="00F40FBE" w:rsidRDefault="002F53C9" w:rsidP="00F40FBE">
      <w:pPr>
        <w:pStyle w:val="OpiPara"/>
        <w:rPr>
          <w:rFonts w:ascii="Times New Roman" w:eastAsia="Times New Roman" w:hAnsi="Times New Roman" w:cs="Times New Roman"/>
          <w:szCs w:val="24"/>
        </w:rPr>
      </w:pPr>
      <w:r w:rsidRPr="00F40FBE">
        <w:rPr>
          <w:rFonts w:ascii="Times New Roman" w:eastAsia="Times New Roman" w:hAnsi="Times New Roman" w:cs="Times New Roman"/>
          <w:szCs w:val="24"/>
        </w:rPr>
        <w:t>2</w:t>
      </w:r>
      <w:r w:rsidR="00F0159E" w:rsidRPr="00F40FBE">
        <w:rPr>
          <w:rFonts w:ascii="Times New Roman" w:eastAsia="Times New Roman" w:hAnsi="Times New Roman" w:cs="Times New Roman"/>
          <w:szCs w:val="24"/>
        </w:rPr>
        <w:t xml:space="preserve">.  Insolvency </w:t>
      </w:r>
      <w:r w:rsidR="00F0159E" w:rsidRPr="00F40FBE">
        <w:rPr>
          <w:rFonts w:eastAsia="Times New Roman"/>
        </w:rPr>
        <w:t>proceedings</w:t>
      </w:r>
      <w:r w:rsidR="00F0159E" w:rsidRPr="00F40FBE">
        <w:rPr>
          <w:rFonts w:ascii="Times New Roman" w:eastAsia="Times New Roman" w:hAnsi="Times New Roman" w:cs="Times New Roman"/>
          <w:szCs w:val="24"/>
        </w:rPr>
        <w:t xml:space="preserve"> are, in some key respects, different from most other kinds of proceedings within the purview of Article 6.</w:t>
      </w:r>
    </w:p>
    <w:p w:rsidR="00A71776" w:rsidRPr="00F40FBE" w:rsidRDefault="002F53C9" w:rsidP="00F40FBE">
      <w:pPr>
        <w:pStyle w:val="OpiPara"/>
        <w:rPr>
          <w:rFonts w:ascii="Times New Roman" w:eastAsia="Times New Roman" w:hAnsi="Times New Roman" w:cs="Times New Roman"/>
          <w:szCs w:val="24"/>
        </w:rPr>
      </w:pPr>
      <w:r w:rsidRPr="00F40FBE">
        <w:rPr>
          <w:rFonts w:ascii="Times New Roman" w:eastAsia="Times New Roman" w:hAnsi="Times New Roman" w:cs="Times New Roman"/>
          <w:szCs w:val="24"/>
        </w:rPr>
        <w:t>3</w:t>
      </w:r>
      <w:r w:rsidR="00F0159E" w:rsidRPr="00F40FBE">
        <w:rPr>
          <w:rFonts w:ascii="Times New Roman" w:eastAsia="Times New Roman" w:hAnsi="Times New Roman" w:cs="Times New Roman"/>
          <w:szCs w:val="24"/>
        </w:rPr>
        <w:t xml:space="preserve">.  Firstly, the role </w:t>
      </w:r>
      <w:r w:rsidR="00F0159E" w:rsidRPr="00F40FBE">
        <w:rPr>
          <w:rFonts w:eastAsia="Times New Roman"/>
        </w:rPr>
        <w:t>and</w:t>
      </w:r>
      <w:r w:rsidR="00F0159E" w:rsidRPr="00F40FBE">
        <w:rPr>
          <w:rFonts w:ascii="Times New Roman" w:eastAsia="Times New Roman" w:hAnsi="Times New Roman" w:cs="Times New Roman"/>
          <w:szCs w:val="24"/>
        </w:rPr>
        <w:t xml:space="preserve"> involvement of courts in such proceedings is usually more limited than in other types of civil proceedings. Although certain stages of insolvency proceedings take place before the competent courts and depend on judicial determinations and decisions, the courts, or other State authorities for that matter, are usually not in charge of other, crucial stages of such proceedings. In most cases, the liquidator or administrator who is responsible for managing the resolution of the insolvency is a private practitioner entrusted with the task of acting in the collective interest of the creditors. Although appointed by the competent court and subject to some form and degree of supervision, the liquidator or administrator is typically not an agent of the State but a trustee of the body of creditors. This has also been acknowledged by the Court – in the context of a complaint under Article 1 of Protocol No. 1 – in </w:t>
      </w:r>
      <w:r w:rsidR="00F0159E" w:rsidRPr="00F40FBE">
        <w:rPr>
          <w:rFonts w:ascii="Times New Roman" w:eastAsia="Times New Roman" w:hAnsi="Times New Roman" w:cs="Times New Roman"/>
          <w:i/>
          <w:szCs w:val="24"/>
        </w:rPr>
        <w:t xml:space="preserve">Kotov v. Russia </w:t>
      </w:r>
      <w:r w:rsidR="00F0159E" w:rsidRPr="00F40FBE">
        <w:rPr>
          <w:rFonts w:ascii="Times New Roman" w:eastAsia="Times New Roman" w:hAnsi="Times New Roman" w:cs="Times New Roman"/>
          <w:szCs w:val="24"/>
        </w:rPr>
        <w:t>[GC]</w:t>
      </w:r>
      <w:r w:rsidR="00F0159E" w:rsidRPr="00F40FBE">
        <w:rPr>
          <w:rFonts w:ascii="Times New Roman" w:eastAsia="Times New Roman" w:hAnsi="Times New Roman" w:cs="Times New Roman"/>
          <w:i/>
          <w:szCs w:val="24"/>
        </w:rPr>
        <w:t xml:space="preserve">, </w:t>
      </w:r>
      <w:r w:rsidR="00F0159E" w:rsidRPr="00F40FBE">
        <w:rPr>
          <w:rFonts w:ascii="Times New Roman" w:eastAsia="Times New Roman" w:hAnsi="Times New Roman" w:cs="Times New Roman"/>
          <w:szCs w:val="24"/>
        </w:rPr>
        <w:t xml:space="preserve">no. </w:t>
      </w:r>
      <w:r w:rsidR="00F0159E" w:rsidRPr="00F40FBE">
        <w:rPr>
          <w:rFonts w:ascii="Times New Roman" w:eastAsia="Times New Roman" w:hAnsi="Times New Roman" w:cs="Times New Roman"/>
          <w:sz w:val="22"/>
        </w:rPr>
        <w:t>54522/00</w:t>
      </w:r>
      <w:r w:rsidR="00F0159E" w:rsidRPr="00F40FBE">
        <w:rPr>
          <w:rFonts w:ascii="Times New Roman" w:eastAsia="Times New Roman" w:hAnsi="Times New Roman" w:cs="Times New Roman"/>
          <w:szCs w:val="24"/>
        </w:rPr>
        <w:t>, §§ 99-107, 3 April 2012.</w:t>
      </w:r>
    </w:p>
    <w:p w:rsidR="00A71776" w:rsidRPr="00F40FBE" w:rsidRDefault="002F53C9" w:rsidP="00F40FBE">
      <w:pPr>
        <w:pStyle w:val="OpiPara"/>
        <w:rPr>
          <w:rFonts w:ascii="Times New Roman" w:eastAsia="Times New Roman" w:hAnsi="Times New Roman" w:cs="Times New Roman"/>
          <w:szCs w:val="24"/>
        </w:rPr>
      </w:pPr>
      <w:r w:rsidRPr="00F40FBE">
        <w:rPr>
          <w:rFonts w:ascii="Times New Roman" w:eastAsia="Times New Roman" w:hAnsi="Times New Roman" w:cs="Times New Roman"/>
          <w:szCs w:val="24"/>
        </w:rPr>
        <w:t>4</w:t>
      </w:r>
      <w:r w:rsidR="00F0159E" w:rsidRPr="00F40FBE">
        <w:rPr>
          <w:rFonts w:ascii="Times New Roman" w:eastAsia="Times New Roman" w:hAnsi="Times New Roman" w:cs="Times New Roman"/>
          <w:szCs w:val="24"/>
        </w:rPr>
        <w:t>.  Secondly, the basic character of insolvency proceedings distinguishes them from most other kinds of civil proceedings in terms of their aim. Insolvency proceedings exist in different forms, as collective mechanisms for the enforcement of the totality of claims against a debtor, either through liquidation of the insolvent debtor</w:t>
      </w:r>
      <w:r w:rsidR="00F40FBE" w:rsidRPr="00F40FBE">
        <w:rPr>
          <w:rFonts w:ascii="Times New Roman" w:eastAsia="Times New Roman" w:hAnsi="Times New Roman" w:cs="Times New Roman"/>
          <w:szCs w:val="24"/>
        </w:rPr>
        <w:t>’</w:t>
      </w:r>
      <w:r w:rsidR="00F0159E" w:rsidRPr="00F40FBE">
        <w:rPr>
          <w:rFonts w:ascii="Times New Roman" w:eastAsia="Times New Roman" w:hAnsi="Times New Roman" w:cs="Times New Roman"/>
          <w:szCs w:val="24"/>
        </w:rPr>
        <w:t>s assets, or through the reorganisation of corporate debtors finding themselves in financial distress, or through the rehabilitation of over-indebted individuals. Regardless of the type of insolvency proceedings, a common feature of such proceedings is that they are not only, or even mainly, concerned with the adjudication of disputes but with the overall resolution of complex situations arising from a debtor</w:t>
      </w:r>
      <w:r w:rsidR="00F40FBE" w:rsidRPr="00F40FBE">
        <w:rPr>
          <w:rFonts w:ascii="Times New Roman" w:eastAsia="Times New Roman" w:hAnsi="Times New Roman" w:cs="Times New Roman"/>
          <w:szCs w:val="24"/>
        </w:rPr>
        <w:t>’</w:t>
      </w:r>
      <w:r w:rsidR="00F0159E" w:rsidRPr="00F40FBE">
        <w:rPr>
          <w:rFonts w:ascii="Times New Roman" w:eastAsia="Times New Roman" w:hAnsi="Times New Roman" w:cs="Times New Roman"/>
          <w:szCs w:val="24"/>
        </w:rPr>
        <w:t>s financial crisis, aimed at an outcome which is in the best interests of the stakeholders, in particular of the various classes of creditors.</w:t>
      </w:r>
    </w:p>
    <w:p w:rsidR="00A71776" w:rsidRPr="00F40FBE" w:rsidRDefault="002F53C9" w:rsidP="00F40FBE">
      <w:pPr>
        <w:pStyle w:val="OpiPara"/>
        <w:rPr>
          <w:rFonts w:ascii="Times New Roman" w:eastAsia="Times New Roman" w:hAnsi="Times New Roman" w:cs="Times New Roman"/>
          <w:szCs w:val="24"/>
        </w:rPr>
      </w:pPr>
      <w:r w:rsidRPr="00F40FBE">
        <w:rPr>
          <w:rFonts w:ascii="Times New Roman" w:eastAsia="Times New Roman" w:hAnsi="Times New Roman" w:cs="Times New Roman"/>
          <w:szCs w:val="24"/>
        </w:rPr>
        <w:t>5</w:t>
      </w:r>
      <w:r w:rsidR="00F0159E" w:rsidRPr="00F40FBE">
        <w:rPr>
          <w:rFonts w:ascii="Times New Roman" w:eastAsia="Times New Roman" w:hAnsi="Times New Roman" w:cs="Times New Roman"/>
          <w:szCs w:val="24"/>
        </w:rPr>
        <w:t xml:space="preserve">.  Because of these special features, it would be a grave mistake to apply Article 6 in the context of insolvency proceedings as if such proceedings could be assimilated with other, ordinary kinds of adjudication proceedings. </w:t>
      </w:r>
      <w:r w:rsidR="00F0159E" w:rsidRPr="00F40FBE">
        <w:rPr>
          <w:rFonts w:ascii="Times New Roman" w:eastAsia="Times New Roman" w:hAnsi="Times New Roman" w:cs="Times New Roman"/>
          <w:szCs w:val="24"/>
        </w:rPr>
        <w:lastRenderedPageBreak/>
        <w:t>It is necessary to take into account the particular characteristics and aims of insolvency proceedings.</w:t>
      </w:r>
    </w:p>
    <w:p w:rsidR="00A71776" w:rsidRPr="00F40FBE" w:rsidRDefault="002F53C9" w:rsidP="00F40FBE">
      <w:pPr>
        <w:pStyle w:val="OpiPara"/>
        <w:rPr>
          <w:rFonts w:ascii="Times New Roman" w:eastAsia="Times New Roman" w:hAnsi="Times New Roman" w:cs="Times New Roman"/>
          <w:szCs w:val="24"/>
        </w:rPr>
      </w:pPr>
      <w:r w:rsidRPr="00F40FBE">
        <w:rPr>
          <w:rFonts w:ascii="Times New Roman" w:eastAsia="Times New Roman" w:hAnsi="Times New Roman" w:cs="Times New Roman"/>
          <w:szCs w:val="24"/>
        </w:rPr>
        <w:t>6</w:t>
      </w:r>
      <w:r w:rsidR="00F0159E" w:rsidRPr="00F40FBE">
        <w:rPr>
          <w:rFonts w:ascii="Times New Roman" w:eastAsia="Times New Roman" w:hAnsi="Times New Roman" w:cs="Times New Roman"/>
          <w:szCs w:val="24"/>
        </w:rPr>
        <w:t>.  While both the opening and the closure of insolvency proceedings will usually require the involvement of courts, and even if issues may arise in the context of such proceedings which require the adjudication of disputes – for instance in determining the validity, amount or legal status of claims against the debtor or the enforceability of certain pre-insolvency transactions</w:t>
      </w:r>
      <w:r w:rsidR="00A71776" w:rsidRPr="00F40FBE">
        <w:rPr>
          <w:rFonts w:ascii="Times New Roman" w:eastAsia="Times New Roman" w:hAnsi="Times New Roman" w:cs="Times New Roman"/>
          <w:szCs w:val="24"/>
        </w:rPr>
        <w:t xml:space="preserve"> </w:t>
      </w:r>
      <w:r w:rsidR="00F0159E" w:rsidRPr="00F40FBE">
        <w:rPr>
          <w:rFonts w:ascii="Times New Roman" w:eastAsia="Times New Roman" w:hAnsi="Times New Roman" w:cs="Times New Roman"/>
          <w:szCs w:val="24"/>
        </w:rPr>
        <w:t>– the duration of the insolvency proceedings does not only depend on the time taken by those stages which take place before the courts. The overall duration of such proceedings, that is the period between the opening and the closure of the proceedings, is very much dependent on the time required by the actual liquidation, reorganisation or rehabilitation measures. The whole process is guided by the aim of achieving optimal results from the point of view of satisfying the creditors. This in turn may require measures over a long period of time. In this context, rapid action may not be the best option for reaching an optimal economic outcome for the creditors; in insolvency proceedings, fast resolution is not necessarily the best resolution. Thus, unlike in most other kinds of proceedings, a lengthy overall duration of the process of resolution may sometimes be well justified by the purpose of the proceedings and the best interests of the creditors. Obviously, this must be determined in the light of the circumstances of each case.</w:t>
      </w:r>
    </w:p>
    <w:p w:rsidR="00F0159E" w:rsidRPr="00F40FBE" w:rsidRDefault="002F53C9" w:rsidP="00F40FBE">
      <w:pPr>
        <w:pStyle w:val="OpiPara"/>
        <w:rPr>
          <w:rFonts w:ascii="Times New Roman" w:eastAsia="Times New Roman" w:hAnsi="Times New Roman" w:cs="Times New Roman"/>
          <w:szCs w:val="24"/>
        </w:rPr>
      </w:pPr>
      <w:r w:rsidRPr="00F40FBE">
        <w:rPr>
          <w:rFonts w:ascii="Times New Roman" w:eastAsia="Times New Roman" w:hAnsi="Times New Roman" w:cs="Times New Roman"/>
          <w:szCs w:val="24"/>
        </w:rPr>
        <w:t>7</w:t>
      </w:r>
      <w:r w:rsidR="00F0159E" w:rsidRPr="00F40FBE">
        <w:rPr>
          <w:rFonts w:ascii="Times New Roman" w:eastAsia="Times New Roman" w:hAnsi="Times New Roman" w:cs="Times New Roman"/>
          <w:szCs w:val="24"/>
        </w:rPr>
        <w:t>.  For these reasons, the time aspects of insolvency proceedings require special considerations to be taken into account, both in terms of the extent to which the duration can be attributable to the State at all, and in terms of the standards by which the reasonableness of the duration must be assessed, bearing in mind the nature and purpose of those proceedings. These specificities need to be borne in mind when assessing whether and how the responsibility of the State is engaged under the timeliness requirement enshrined in Article 6.</w:t>
      </w:r>
    </w:p>
    <w:p w:rsidR="00F0159E" w:rsidRPr="00F40FBE" w:rsidRDefault="00F0159E" w:rsidP="00F40FBE">
      <w:pPr>
        <w:pStyle w:val="OpiHi"/>
        <w:rPr>
          <w:rFonts w:ascii="Times New Roman" w:eastAsia="Times New Roman" w:hAnsi="Times New Roman" w:cs="Times New Roman"/>
          <w:szCs w:val="24"/>
        </w:rPr>
      </w:pPr>
      <w:r w:rsidRPr="00F40FBE">
        <w:rPr>
          <w:rFonts w:ascii="Times New Roman" w:eastAsia="Times New Roman" w:hAnsi="Times New Roman" w:cs="Times New Roman"/>
          <w:szCs w:val="24"/>
        </w:rPr>
        <w:t xml:space="preserve">The </w:t>
      </w:r>
      <w:r w:rsidRPr="00F40FBE">
        <w:rPr>
          <w:rFonts w:eastAsia="Times New Roman"/>
        </w:rPr>
        <w:t>present</w:t>
      </w:r>
      <w:r w:rsidRPr="00F40FBE">
        <w:rPr>
          <w:rFonts w:ascii="Times New Roman" w:eastAsia="Times New Roman" w:hAnsi="Times New Roman" w:cs="Times New Roman"/>
          <w:szCs w:val="24"/>
        </w:rPr>
        <w:t xml:space="preserve"> case</w:t>
      </w:r>
    </w:p>
    <w:p w:rsidR="00F0159E" w:rsidRPr="00F40FBE" w:rsidRDefault="002F53C9" w:rsidP="00F40FBE">
      <w:pPr>
        <w:pStyle w:val="OpiPara"/>
        <w:rPr>
          <w:rFonts w:ascii="Times New Roman" w:eastAsia="Times New Roman" w:hAnsi="Times New Roman" w:cs="Times New Roman"/>
          <w:szCs w:val="24"/>
        </w:rPr>
      </w:pPr>
      <w:r w:rsidRPr="00F40FBE">
        <w:rPr>
          <w:rFonts w:ascii="Times New Roman" w:eastAsia="Times New Roman" w:hAnsi="Times New Roman" w:cs="Times New Roman"/>
          <w:szCs w:val="24"/>
        </w:rPr>
        <w:t>8</w:t>
      </w:r>
      <w:r w:rsidR="00F0159E" w:rsidRPr="00F40FBE">
        <w:rPr>
          <w:rFonts w:ascii="Times New Roman" w:eastAsia="Times New Roman" w:hAnsi="Times New Roman" w:cs="Times New Roman"/>
          <w:szCs w:val="24"/>
        </w:rPr>
        <w:t>.  This case concerns a special kind of liquidation procedure under Italian law (</w:t>
      </w:r>
      <w:r w:rsidR="00F0159E" w:rsidRPr="00F40FBE">
        <w:rPr>
          <w:rFonts w:ascii="Times New Roman" w:eastAsia="Times New Roman" w:hAnsi="Times New Roman" w:cs="Times New Roman"/>
          <w:i/>
          <w:szCs w:val="24"/>
        </w:rPr>
        <w:t>liquidazione coatta amministrativa</w:t>
      </w:r>
      <w:r w:rsidR="00F0159E" w:rsidRPr="00F40FBE">
        <w:rPr>
          <w:rFonts w:ascii="Times New Roman" w:eastAsia="Times New Roman" w:hAnsi="Times New Roman" w:cs="Times New Roman"/>
          <w:szCs w:val="24"/>
        </w:rPr>
        <w:t>), applicable to particular categories of debtors, such as financial institutions and cooperatives, which are subject to State supervision because of the general interest involved in their activities (paragraph 13 of the judgment). In line with liquidation procedures in general, the impugned procedure is aimed at collective enforcement of all claims against the debtor, in this case a housing cooperative (paragraphs 14-15 of the judgment).</w:t>
      </w:r>
    </w:p>
    <w:p w:rsidR="00A71776" w:rsidRPr="00F40FBE" w:rsidRDefault="002F53C9" w:rsidP="00F40FBE">
      <w:pPr>
        <w:pStyle w:val="OpiPara"/>
        <w:rPr>
          <w:rFonts w:ascii="Times New Roman" w:eastAsia="Times New Roman" w:hAnsi="Times New Roman" w:cs="Times New Roman"/>
          <w:szCs w:val="24"/>
        </w:rPr>
      </w:pPr>
      <w:r w:rsidRPr="00F40FBE">
        <w:rPr>
          <w:rFonts w:ascii="Times New Roman" w:eastAsia="Times New Roman" w:hAnsi="Times New Roman" w:cs="Times New Roman"/>
          <w:szCs w:val="24"/>
        </w:rPr>
        <w:t>9</w:t>
      </w:r>
      <w:r w:rsidR="00F0159E" w:rsidRPr="00F40FBE">
        <w:rPr>
          <w:rFonts w:ascii="Times New Roman" w:eastAsia="Times New Roman" w:hAnsi="Times New Roman" w:cs="Times New Roman"/>
          <w:szCs w:val="24"/>
        </w:rPr>
        <w:t xml:space="preserve">.  Under this procedure, the competent court determines the state of insolvency and carries out certain other functions in the context of the proceedings, the relevant supervisory authority is entrusted with the formal opening of the liquidation, and the liquidators are public officials. Thus, </w:t>
      </w:r>
      <w:r w:rsidR="00F0159E" w:rsidRPr="00F40FBE">
        <w:rPr>
          <w:rFonts w:ascii="Times New Roman" w:eastAsia="Times New Roman" w:hAnsi="Times New Roman" w:cs="Times New Roman"/>
          <w:szCs w:val="24"/>
        </w:rPr>
        <w:lastRenderedPageBreak/>
        <w:t>unlike the typical insolvency procedures existing in the Contracting States, the procedure at issue is in all respects conducted by State authorities, either judicial or administrative, depending on the stage of the liquidation process. Consequently, I agree that the overall duration of these liquidation proceedings is capable of engaging the responsibility of the respondent State under Article 6.</w:t>
      </w:r>
    </w:p>
    <w:p w:rsidR="00A71776" w:rsidRPr="00F40FBE" w:rsidRDefault="002F53C9" w:rsidP="00F40FBE">
      <w:pPr>
        <w:pStyle w:val="OpiPara"/>
        <w:rPr>
          <w:rFonts w:ascii="Times New Roman" w:eastAsia="Times New Roman" w:hAnsi="Times New Roman" w:cs="Times New Roman"/>
          <w:szCs w:val="24"/>
        </w:rPr>
      </w:pPr>
      <w:r w:rsidRPr="00F40FBE">
        <w:rPr>
          <w:rFonts w:ascii="Times New Roman" w:eastAsia="Times New Roman" w:hAnsi="Times New Roman" w:cs="Times New Roman"/>
          <w:szCs w:val="24"/>
        </w:rPr>
        <w:t>10</w:t>
      </w:r>
      <w:r w:rsidR="00F0159E" w:rsidRPr="00F40FBE">
        <w:rPr>
          <w:rFonts w:ascii="Times New Roman" w:eastAsia="Times New Roman" w:hAnsi="Times New Roman" w:cs="Times New Roman"/>
          <w:szCs w:val="24"/>
        </w:rPr>
        <w:t>.  As to the length of the liquidation process in the present case, I do agree with my colleagues in the majority that the respondent Government have failed to submit any pertinent justification for the very long time during which the proceedings have remained pending, and that under these circumstances there has been a violation of Article 6 by the respondent State.</w:t>
      </w:r>
    </w:p>
    <w:p w:rsidR="00F0159E" w:rsidRPr="00F40FBE" w:rsidRDefault="00F0159E" w:rsidP="00F40FBE">
      <w:pPr>
        <w:jc w:val="left"/>
        <w:rPr>
          <w:rFonts w:asciiTheme="majorHAnsi" w:hAnsiTheme="majorHAnsi"/>
          <w:sz w:val="28"/>
          <w:lang w:val="en-US"/>
        </w:rPr>
      </w:pPr>
      <w:r w:rsidRPr="00F40FBE">
        <w:rPr>
          <w:lang w:val="en-US"/>
        </w:rPr>
        <w:br w:type="page"/>
      </w:r>
    </w:p>
    <w:p w:rsidR="00F0159E" w:rsidRPr="00F40FBE" w:rsidRDefault="00F0159E" w:rsidP="00F40FBE">
      <w:pPr>
        <w:pStyle w:val="ECHRTitleCentre1"/>
        <w:rPr>
          <w:lang w:val="fr-FR"/>
        </w:rPr>
      </w:pPr>
      <w:r w:rsidRPr="00F40FBE">
        <w:rPr>
          <w:lang w:val="fr-FR"/>
        </w:rPr>
        <w:lastRenderedPageBreak/>
        <w:t>OPINION DISSIDENTE DU JUGE WOJTYCZEK</w:t>
      </w:r>
    </w:p>
    <w:p w:rsidR="00F0159E" w:rsidRPr="00F40FBE" w:rsidRDefault="00F0159E" w:rsidP="00F40FBE">
      <w:pPr>
        <w:pStyle w:val="OpiPara"/>
        <w:rPr>
          <w:lang w:val="fr-FR"/>
        </w:rPr>
      </w:pPr>
      <w:r w:rsidRPr="00F40FBE">
        <w:rPr>
          <w:lang w:val="fr-FR"/>
        </w:rPr>
        <w:t>1.  Contrairement à la majorité, je ne pense pas que l</w:t>
      </w:r>
      <w:r w:rsidR="00F40FBE" w:rsidRPr="00F40FBE">
        <w:rPr>
          <w:lang w:val="fr-FR"/>
        </w:rPr>
        <w:t>’</w:t>
      </w:r>
      <w:r w:rsidRPr="00F40FBE">
        <w:rPr>
          <w:lang w:val="fr-FR"/>
        </w:rPr>
        <w:t>article 6 trouve à s</w:t>
      </w:r>
      <w:r w:rsidR="00F40FBE" w:rsidRPr="00F40FBE">
        <w:rPr>
          <w:lang w:val="fr-FR"/>
        </w:rPr>
        <w:t>’</w:t>
      </w:r>
      <w:r w:rsidRPr="00F40FBE">
        <w:rPr>
          <w:lang w:val="fr-FR"/>
        </w:rPr>
        <w:t>appliquer dans la présente affaire.</w:t>
      </w:r>
    </w:p>
    <w:p w:rsidR="00F0159E" w:rsidRPr="00F40FBE" w:rsidRDefault="00F0159E" w:rsidP="00F40FBE">
      <w:pPr>
        <w:pStyle w:val="OpiPara"/>
        <w:rPr>
          <w:lang w:val="fr-FR"/>
        </w:rPr>
      </w:pPr>
      <w:r w:rsidRPr="00F40FBE">
        <w:rPr>
          <w:lang w:val="fr-FR"/>
        </w:rPr>
        <w:t>2.  Cette affaire concerne une ingérence dans les droits patrimoniaux du requérant. Pendant la durée de la procédure de liquidation administrative, les créanciers ne peuvent pas recouvrer leurs créances, fût-ce partiellement. Ils doivent attendre l</w:t>
      </w:r>
      <w:r w:rsidR="00F40FBE" w:rsidRPr="00F40FBE">
        <w:rPr>
          <w:lang w:val="fr-FR"/>
        </w:rPr>
        <w:t>’</w:t>
      </w:r>
      <w:r w:rsidRPr="00F40FBE">
        <w:rPr>
          <w:lang w:val="fr-FR"/>
        </w:rPr>
        <w:t>issue de la procédure pour savoir si et dans quelle mesure leurs créances seront honorées. La requête aurait donc dû être communiquée et examinée sous l</w:t>
      </w:r>
      <w:r w:rsidR="00F40FBE" w:rsidRPr="00F40FBE">
        <w:rPr>
          <w:lang w:val="fr-FR"/>
        </w:rPr>
        <w:t>’</w:t>
      </w:r>
      <w:r w:rsidRPr="00F40FBE">
        <w:rPr>
          <w:lang w:val="fr-FR"/>
        </w:rPr>
        <w:t>angle de l</w:t>
      </w:r>
      <w:r w:rsidR="00F40FBE" w:rsidRPr="00F40FBE">
        <w:rPr>
          <w:lang w:val="fr-FR"/>
        </w:rPr>
        <w:t>’</w:t>
      </w:r>
      <w:r w:rsidRPr="00F40FBE">
        <w:rPr>
          <w:lang w:val="fr-FR"/>
        </w:rPr>
        <w:t>article 1 du Protocole n</w:t>
      </w:r>
      <w:r w:rsidRPr="00F40FBE">
        <w:rPr>
          <w:vertAlign w:val="superscript"/>
          <w:lang w:val="fr-FR"/>
        </w:rPr>
        <w:t>o</w:t>
      </w:r>
      <w:r w:rsidRPr="00F40FBE">
        <w:rPr>
          <w:lang w:val="fr-FR"/>
        </w:rPr>
        <w:t xml:space="preserve"> 1. La durée de la procédure de liquidation dans cette affaire constitue en effet un motif suffisant pour constater une violation de cet article de la Convention. Je regrette que la majorité ait refusé d</w:t>
      </w:r>
      <w:r w:rsidR="00F40FBE" w:rsidRPr="00F40FBE">
        <w:rPr>
          <w:lang w:val="fr-FR"/>
        </w:rPr>
        <w:t>’</w:t>
      </w:r>
      <w:r w:rsidRPr="00F40FBE">
        <w:rPr>
          <w:lang w:val="fr-FR"/>
        </w:rPr>
        <w:t>examiner cet aspect de l</w:t>
      </w:r>
      <w:r w:rsidR="00F40FBE" w:rsidRPr="00F40FBE">
        <w:rPr>
          <w:lang w:val="fr-FR"/>
        </w:rPr>
        <w:t>’</w:t>
      </w:r>
      <w:r w:rsidRPr="00F40FBE">
        <w:rPr>
          <w:lang w:val="fr-FR"/>
        </w:rPr>
        <w:t>affaire.</w:t>
      </w:r>
    </w:p>
    <w:p w:rsidR="00A71776" w:rsidRPr="00F40FBE" w:rsidRDefault="00F0159E" w:rsidP="00F40FBE">
      <w:pPr>
        <w:pStyle w:val="OpiPara"/>
        <w:rPr>
          <w:lang w:val="fr-FR"/>
        </w:rPr>
      </w:pPr>
      <w:r w:rsidRPr="00F40FBE">
        <w:rPr>
          <w:lang w:val="fr-FR"/>
        </w:rPr>
        <w:t>3.  La majorité exprime l</w:t>
      </w:r>
      <w:r w:rsidR="00F40FBE" w:rsidRPr="00F40FBE">
        <w:rPr>
          <w:lang w:val="fr-FR"/>
        </w:rPr>
        <w:t>’</w:t>
      </w:r>
      <w:r w:rsidRPr="00F40FBE">
        <w:rPr>
          <w:lang w:val="fr-FR"/>
        </w:rPr>
        <w:t>opinion suivante :</w:t>
      </w:r>
    </w:p>
    <w:p w:rsidR="00F0159E" w:rsidRPr="00F40FBE" w:rsidRDefault="00F0159E" w:rsidP="00F40FBE">
      <w:pPr>
        <w:pStyle w:val="OpiQuot"/>
        <w:rPr>
          <w:i/>
          <w:lang w:val="fr-FR"/>
        </w:rPr>
      </w:pPr>
      <w:r w:rsidRPr="00F40FBE">
        <w:rPr>
          <w:lang w:val="fr-FR"/>
        </w:rPr>
        <w:t>« En s</w:t>
      </w:r>
      <w:r w:rsidR="00F40FBE" w:rsidRPr="00F40FBE">
        <w:rPr>
          <w:lang w:val="fr-FR"/>
        </w:rPr>
        <w:t>’</w:t>
      </w:r>
      <w:r w:rsidRPr="00F40FBE">
        <w:rPr>
          <w:lang w:val="fr-FR"/>
        </w:rPr>
        <w:t>intéressant à l</w:t>
      </w:r>
      <w:r w:rsidR="00F40FBE" w:rsidRPr="00F40FBE">
        <w:rPr>
          <w:lang w:val="fr-FR"/>
        </w:rPr>
        <w:t>’</w:t>
      </w:r>
      <w:r w:rsidRPr="00F40FBE">
        <w:rPr>
          <w:lang w:val="fr-FR"/>
        </w:rPr>
        <w:t xml:space="preserve">impact réel de cette démarche dans le cadre de la procédure litigieuse (voir, </w:t>
      </w:r>
      <w:r w:rsidRPr="00F40FBE">
        <w:rPr>
          <w:i/>
          <w:lang w:val="fr-FR"/>
        </w:rPr>
        <w:t>mutatis mutandis</w:t>
      </w:r>
      <w:r w:rsidRPr="00F40FBE">
        <w:rPr>
          <w:lang w:val="fr-FR"/>
        </w:rPr>
        <w:t xml:space="preserve">, </w:t>
      </w:r>
      <w:r w:rsidRPr="00F40FBE">
        <w:rPr>
          <w:i/>
          <w:lang w:val="fr-FR"/>
        </w:rPr>
        <w:t>Gorou c. Grèce (n</w:t>
      </w:r>
      <w:r w:rsidRPr="00F40FBE">
        <w:rPr>
          <w:i/>
          <w:vertAlign w:val="superscript"/>
          <w:lang w:val="fr-FR"/>
        </w:rPr>
        <w:t>o</w:t>
      </w:r>
      <w:r w:rsidRPr="00F40FBE">
        <w:rPr>
          <w:i/>
          <w:lang w:val="fr-FR"/>
        </w:rPr>
        <w:t xml:space="preserve"> 2) </w:t>
      </w:r>
      <w:r w:rsidRPr="00F40FBE">
        <w:rPr>
          <w:lang w:val="fr-FR"/>
        </w:rPr>
        <w:t>[GC]</w:t>
      </w:r>
      <w:r w:rsidRPr="00F40FBE">
        <w:rPr>
          <w:i/>
          <w:lang w:val="fr-FR"/>
        </w:rPr>
        <w:t xml:space="preserve">, </w:t>
      </w:r>
      <w:r w:rsidRPr="00F40FBE">
        <w:rPr>
          <w:lang w:val="fr-FR"/>
        </w:rPr>
        <w:t>n</w:t>
      </w:r>
      <w:r w:rsidRPr="00F40FBE">
        <w:rPr>
          <w:vertAlign w:val="superscript"/>
          <w:lang w:val="fr-FR"/>
        </w:rPr>
        <w:t>o</w:t>
      </w:r>
      <w:r w:rsidRPr="00F40FBE">
        <w:rPr>
          <w:lang w:val="fr-FR"/>
        </w:rPr>
        <w:t xml:space="preserve"> 12686/03, § 30, 20</w:t>
      </w:r>
      <w:r w:rsidR="00A81190" w:rsidRPr="00F40FBE">
        <w:rPr>
          <w:lang w:val="fr-FR"/>
        </w:rPr>
        <w:t> </w:t>
      </w:r>
      <w:r w:rsidRPr="00F40FBE">
        <w:rPr>
          <w:lang w:val="fr-FR"/>
        </w:rPr>
        <w:t>mars 2009)</w:t>
      </w:r>
      <w:r w:rsidRPr="00F40FBE">
        <w:rPr>
          <w:i/>
          <w:lang w:val="fr-FR"/>
        </w:rPr>
        <w:t xml:space="preserve">, </w:t>
      </w:r>
      <w:r w:rsidRPr="00F40FBE">
        <w:rPr>
          <w:lang w:val="fr-FR"/>
        </w:rPr>
        <w:t>la Cour estime en l</w:t>
      </w:r>
      <w:r w:rsidR="00F40FBE" w:rsidRPr="00F40FBE">
        <w:rPr>
          <w:lang w:val="fr-FR"/>
        </w:rPr>
        <w:t>’</w:t>
      </w:r>
      <w:r w:rsidRPr="00F40FBE">
        <w:rPr>
          <w:lang w:val="fr-FR"/>
        </w:rPr>
        <w:t>occurrence que, à partir de ladite demande formulée par le créancier, il surgit une « contestation » réelle et sérieuse sur un droit de caractère civil, s</w:t>
      </w:r>
      <w:r w:rsidR="00F40FBE" w:rsidRPr="00F40FBE">
        <w:rPr>
          <w:lang w:val="fr-FR"/>
        </w:rPr>
        <w:t>’</w:t>
      </w:r>
      <w:r w:rsidRPr="00F40FBE">
        <w:rPr>
          <w:lang w:val="fr-FR"/>
        </w:rPr>
        <w:t>agissant d</w:t>
      </w:r>
      <w:r w:rsidR="00F40FBE" w:rsidRPr="00F40FBE">
        <w:rPr>
          <w:lang w:val="fr-FR"/>
        </w:rPr>
        <w:t>’</w:t>
      </w:r>
      <w:r w:rsidRPr="00F40FBE">
        <w:rPr>
          <w:lang w:val="fr-FR"/>
        </w:rPr>
        <w:t>une créance fondée sur des lettres de change</w:t>
      </w:r>
      <w:r w:rsidRPr="00F40FBE">
        <w:rPr>
          <w:i/>
          <w:lang w:val="fr-FR"/>
        </w:rPr>
        <w:t xml:space="preserve"> </w:t>
      </w:r>
      <w:r w:rsidRPr="00F40FBE">
        <w:rPr>
          <w:lang w:val="fr-FR"/>
        </w:rPr>
        <w:t>(</w:t>
      </w:r>
      <w:r w:rsidRPr="00F40FBE">
        <w:rPr>
          <w:i/>
          <w:lang w:val="fr-FR"/>
        </w:rPr>
        <w:t xml:space="preserve">Neves e Silva c. Portugal, </w:t>
      </w:r>
      <w:r w:rsidRPr="00F40FBE">
        <w:rPr>
          <w:lang w:val="fr-FR"/>
        </w:rPr>
        <w:t>§ 37, 27 avril 1989, série A n</w:t>
      </w:r>
      <w:r w:rsidRPr="00F40FBE">
        <w:rPr>
          <w:vertAlign w:val="superscript"/>
          <w:lang w:val="fr-FR"/>
        </w:rPr>
        <w:t>o</w:t>
      </w:r>
      <w:r w:rsidRPr="00F40FBE">
        <w:rPr>
          <w:lang w:val="fr-FR"/>
        </w:rPr>
        <w:t> 153-A</w:t>
      </w:r>
      <w:r w:rsidRPr="00F40FBE">
        <w:rPr>
          <w:i/>
          <w:lang w:val="fr-FR"/>
        </w:rPr>
        <w:t xml:space="preserve">, et Éditions Périscope c. France, </w:t>
      </w:r>
      <w:r w:rsidRPr="00F40FBE">
        <w:rPr>
          <w:lang w:val="fr-FR"/>
        </w:rPr>
        <w:t>§ 38, 26 mars 1992, série A n</w:t>
      </w:r>
      <w:r w:rsidRPr="00F40FBE">
        <w:rPr>
          <w:vertAlign w:val="superscript"/>
          <w:lang w:val="fr-FR"/>
        </w:rPr>
        <w:t>o</w:t>
      </w:r>
      <w:r w:rsidRPr="00F40FBE">
        <w:rPr>
          <w:lang w:val="fr-FR"/>
        </w:rPr>
        <w:t> 234-B)</w:t>
      </w:r>
      <w:r w:rsidRPr="00F40FBE">
        <w:rPr>
          <w:i/>
          <w:lang w:val="fr-FR"/>
        </w:rPr>
        <w:t>. </w:t>
      </w:r>
      <w:r w:rsidRPr="00F40FBE">
        <w:rPr>
          <w:lang w:val="fr-FR"/>
        </w:rPr>
        <w:t>»</w:t>
      </w:r>
    </w:p>
    <w:p w:rsidR="00F0159E" w:rsidRPr="00F40FBE" w:rsidRDefault="00F0159E" w:rsidP="00F40FBE">
      <w:pPr>
        <w:pStyle w:val="OpiPara"/>
        <w:rPr>
          <w:lang w:val="fr-FR"/>
        </w:rPr>
      </w:pPr>
      <w:r w:rsidRPr="00F40FBE">
        <w:rPr>
          <w:lang w:val="fr-FR"/>
        </w:rPr>
        <w:t>Je ne suis pas d</w:t>
      </w:r>
      <w:r w:rsidR="00F40FBE" w:rsidRPr="00F40FBE">
        <w:rPr>
          <w:lang w:val="fr-FR"/>
        </w:rPr>
        <w:t>’</w:t>
      </w:r>
      <w:r w:rsidRPr="00F40FBE">
        <w:rPr>
          <w:lang w:val="fr-FR"/>
        </w:rPr>
        <w:t>accord avec cette opinion. Je note que dans l</w:t>
      </w:r>
      <w:r w:rsidR="00F40FBE" w:rsidRPr="00F40FBE">
        <w:rPr>
          <w:lang w:val="fr-FR"/>
        </w:rPr>
        <w:t>’</w:t>
      </w:r>
      <w:r w:rsidRPr="00F40FBE">
        <w:rPr>
          <w:lang w:val="fr-FR"/>
        </w:rPr>
        <w:t xml:space="preserve">arrêt </w:t>
      </w:r>
      <w:r w:rsidRPr="00F40FBE">
        <w:rPr>
          <w:i/>
          <w:lang w:val="fr-FR"/>
        </w:rPr>
        <w:t>Neves e Silva c. Portugal</w:t>
      </w:r>
      <w:r w:rsidRPr="00F40FBE">
        <w:rPr>
          <w:lang w:val="fr-FR"/>
        </w:rPr>
        <w:t>, la</w:t>
      </w:r>
      <w:r w:rsidRPr="00F40FBE">
        <w:rPr>
          <w:i/>
          <w:lang w:val="fr-FR"/>
        </w:rPr>
        <w:t xml:space="preserve"> </w:t>
      </w:r>
      <w:r w:rsidRPr="00F40FBE">
        <w:rPr>
          <w:lang w:val="fr-FR"/>
        </w:rPr>
        <w:t>Cour a formulé le point de vue suivant :</w:t>
      </w:r>
    </w:p>
    <w:p w:rsidR="00F0159E" w:rsidRPr="00F40FBE" w:rsidRDefault="00F0159E" w:rsidP="00F40FBE">
      <w:pPr>
        <w:pStyle w:val="OpiQuot"/>
        <w:rPr>
          <w:lang w:val="fr-FR"/>
        </w:rPr>
      </w:pPr>
      <w:r w:rsidRPr="00F40FBE">
        <w:rPr>
          <w:lang w:val="fr-FR"/>
        </w:rPr>
        <w:t>« L</w:t>
      </w:r>
      <w:r w:rsidR="00F40FBE" w:rsidRPr="00F40FBE">
        <w:rPr>
          <w:lang w:val="fr-FR"/>
        </w:rPr>
        <w:t>’</w:t>
      </w:r>
      <w:r w:rsidRPr="00F40FBE">
        <w:rPr>
          <w:lang w:val="fr-FR"/>
        </w:rPr>
        <w:t>article 6 par. 1 (art. 6-1) vaut pour les "contestations" relatives à des "droits" (de caractère civil) que l</w:t>
      </w:r>
      <w:r w:rsidR="00F40FBE" w:rsidRPr="00F40FBE">
        <w:rPr>
          <w:lang w:val="fr-FR"/>
        </w:rPr>
        <w:t>’</w:t>
      </w:r>
      <w:r w:rsidRPr="00F40FBE">
        <w:rPr>
          <w:lang w:val="fr-FR"/>
        </w:rPr>
        <w:t>on peut dire, au moins de manière défendable, reconnus en droit interne, qu</w:t>
      </w:r>
      <w:r w:rsidR="00F40FBE" w:rsidRPr="00F40FBE">
        <w:rPr>
          <w:lang w:val="fr-FR"/>
        </w:rPr>
        <w:t>’</w:t>
      </w:r>
      <w:r w:rsidRPr="00F40FBE">
        <w:rPr>
          <w:lang w:val="fr-FR"/>
        </w:rPr>
        <w:t>ils soient ou non protégés de surcroît par la Convention (voir entre autres les arrêts</w:t>
      </w:r>
      <w:r w:rsidRPr="00F40FBE">
        <w:rPr>
          <w:i/>
          <w:lang w:val="fr-FR"/>
        </w:rPr>
        <w:t xml:space="preserve"> Golder </w:t>
      </w:r>
      <w:r w:rsidRPr="00F40FBE">
        <w:rPr>
          <w:lang w:val="fr-FR"/>
        </w:rPr>
        <w:t>du 21 février 1975, série A n</w:t>
      </w:r>
      <w:r w:rsidRPr="00F40FBE">
        <w:rPr>
          <w:vertAlign w:val="superscript"/>
          <w:lang w:val="fr-FR"/>
        </w:rPr>
        <w:t>o</w:t>
      </w:r>
      <w:r w:rsidRPr="00F40FBE">
        <w:rPr>
          <w:lang w:val="fr-FR"/>
        </w:rPr>
        <w:t> 18, p. 16, par. 33, et</w:t>
      </w:r>
      <w:r w:rsidRPr="00F40FBE">
        <w:rPr>
          <w:i/>
          <w:lang w:val="fr-FR"/>
        </w:rPr>
        <w:t xml:space="preserve"> H.</w:t>
      </w:r>
      <w:r w:rsidRPr="00F40FBE">
        <w:rPr>
          <w:lang w:val="fr-FR"/>
        </w:rPr>
        <w:t xml:space="preserve"> </w:t>
      </w:r>
      <w:r w:rsidRPr="00F40FBE">
        <w:rPr>
          <w:i/>
          <w:lang w:val="fr-FR"/>
        </w:rPr>
        <w:t xml:space="preserve">contre Belgique </w:t>
      </w:r>
      <w:r w:rsidRPr="00F40FBE">
        <w:rPr>
          <w:lang w:val="fr-FR"/>
        </w:rPr>
        <w:t>du 30 novembre 1987, série A n</w:t>
      </w:r>
      <w:r w:rsidRPr="00F40FBE">
        <w:rPr>
          <w:vertAlign w:val="superscript"/>
          <w:lang w:val="fr-FR"/>
        </w:rPr>
        <w:t>o</w:t>
      </w:r>
      <w:r w:rsidRPr="00F40FBE">
        <w:rPr>
          <w:lang w:val="fr-FR"/>
        </w:rPr>
        <w:t> 127-B, p. 31, par. 40</w:t>
      </w:r>
      <w:r w:rsidRPr="00F40FBE">
        <w:rPr>
          <w:i/>
          <w:lang w:val="fr-FR"/>
        </w:rPr>
        <w:t>). </w:t>
      </w:r>
      <w:r w:rsidRPr="00F40FBE">
        <w:rPr>
          <w:lang w:val="fr-FR"/>
        </w:rPr>
        <w:t>»</w:t>
      </w:r>
    </w:p>
    <w:p w:rsidR="00F0159E" w:rsidRPr="00F40FBE" w:rsidRDefault="00F0159E" w:rsidP="00F40FBE">
      <w:pPr>
        <w:pStyle w:val="OpiPara"/>
        <w:rPr>
          <w:lang w:val="fr-FR"/>
        </w:rPr>
      </w:pPr>
      <w:r w:rsidRPr="00F40FBE">
        <w:rPr>
          <w:lang w:val="fr-FR"/>
        </w:rPr>
        <w:t>Selon la jurisprudence bien établie de la Cour, l</w:t>
      </w:r>
      <w:r w:rsidR="00F40FBE" w:rsidRPr="00F40FBE">
        <w:rPr>
          <w:lang w:val="fr-FR"/>
        </w:rPr>
        <w:t>’</w:t>
      </w:r>
      <w:r w:rsidRPr="00F40FBE">
        <w:rPr>
          <w:lang w:val="fr-FR"/>
        </w:rPr>
        <w:t>article 6 sous son volet civil est applicable aux litiges portant sur les droits des personnes concernées. Dans le contexte des procédures administratives, la Cour a dans l</w:t>
      </w:r>
      <w:r w:rsidR="00F40FBE" w:rsidRPr="00F40FBE">
        <w:rPr>
          <w:lang w:val="fr-FR"/>
        </w:rPr>
        <w:t>’</w:t>
      </w:r>
      <w:r w:rsidRPr="00F40FBE">
        <w:rPr>
          <w:lang w:val="fr-FR"/>
        </w:rPr>
        <w:t xml:space="preserve">arrêt </w:t>
      </w:r>
      <w:r w:rsidRPr="00F40FBE">
        <w:rPr>
          <w:i/>
          <w:lang w:val="fr-FR"/>
        </w:rPr>
        <w:t>Janssen c. Allemagne</w:t>
      </w:r>
      <w:r w:rsidRPr="00F40FBE">
        <w:rPr>
          <w:lang w:val="fr-FR"/>
        </w:rPr>
        <w:t xml:space="preserve"> (n</w:t>
      </w:r>
      <w:r w:rsidRPr="00F40FBE">
        <w:rPr>
          <w:vertAlign w:val="superscript"/>
          <w:lang w:val="fr-FR"/>
        </w:rPr>
        <w:t>o</w:t>
      </w:r>
      <w:r w:rsidRPr="00F40FBE">
        <w:rPr>
          <w:lang w:val="fr-FR"/>
        </w:rPr>
        <w:t xml:space="preserve"> 23959/94, § 40, 20 décembre 2001) formulé des indications plus précises concernant l</w:t>
      </w:r>
      <w:r w:rsidR="00F40FBE" w:rsidRPr="00F40FBE">
        <w:rPr>
          <w:lang w:val="fr-FR"/>
        </w:rPr>
        <w:t>’</w:t>
      </w:r>
      <w:r w:rsidRPr="00F40FBE">
        <w:rPr>
          <w:lang w:val="fr-FR"/>
        </w:rPr>
        <w:t>applicabilité de l</w:t>
      </w:r>
      <w:r w:rsidR="00F40FBE" w:rsidRPr="00F40FBE">
        <w:rPr>
          <w:lang w:val="fr-FR"/>
        </w:rPr>
        <w:t>’</w:t>
      </w:r>
      <w:r w:rsidRPr="00F40FBE">
        <w:rPr>
          <w:lang w:val="fr-FR"/>
        </w:rPr>
        <w:t>article 6 :</w:t>
      </w:r>
    </w:p>
    <w:p w:rsidR="00F0159E" w:rsidRPr="00F40FBE" w:rsidRDefault="00F0159E" w:rsidP="00F40FBE">
      <w:pPr>
        <w:pStyle w:val="OpiQuot"/>
        <w:rPr>
          <w:lang w:val="fr-FR"/>
        </w:rPr>
      </w:pPr>
      <w:r w:rsidRPr="00F40FBE">
        <w:rPr>
          <w:lang w:val="fr-FR"/>
        </w:rPr>
        <w:t>« La Cour estime à l</w:t>
      </w:r>
      <w:r w:rsidR="00F40FBE" w:rsidRPr="00F40FBE">
        <w:rPr>
          <w:lang w:val="fr-FR"/>
        </w:rPr>
        <w:t>’</w:t>
      </w:r>
      <w:r w:rsidRPr="00F40FBE">
        <w:rPr>
          <w:lang w:val="fr-FR"/>
        </w:rPr>
        <w:t>instar du Gouvernement que la période pertinente a commencé à courir le 20 mars 1986, date à laquelle M</w:t>
      </w:r>
      <w:r w:rsidRPr="00F40FBE">
        <w:rPr>
          <w:vertAlign w:val="superscript"/>
          <w:lang w:val="fr-FR"/>
        </w:rPr>
        <w:t>me</w:t>
      </w:r>
      <w:r w:rsidRPr="00F40FBE">
        <w:rPr>
          <w:lang w:val="fr-FR"/>
        </w:rPr>
        <w:t xml:space="preserve"> Gretel Janssen a contesté le refus d</w:t>
      </w:r>
      <w:r w:rsidR="00F40FBE" w:rsidRPr="00F40FBE">
        <w:rPr>
          <w:lang w:val="fr-FR"/>
        </w:rPr>
        <w:t>’</w:t>
      </w:r>
      <w:r w:rsidRPr="00F40FBE">
        <w:rPr>
          <w:lang w:val="fr-FR"/>
        </w:rPr>
        <w:t>indemnisation que lui avait opposé la caisse d</w:t>
      </w:r>
      <w:r w:rsidR="00F40FBE" w:rsidRPr="00F40FBE">
        <w:rPr>
          <w:lang w:val="fr-FR"/>
        </w:rPr>
        <w:t>’</w:t>
      </w:r>
      <w:r w:rsidRPr="00F40FBE">
        <w:rPr>
          <w:lang w:val="fr-FR"/>
        </w:rPr>
        <w:t>assurance maladie professionnelle. C</w:t>
      </w:r>
      <w:r w:rsidR="00F40FBE" w:rsidRPr="00F40FBE">
        <w:rPr>
          <w:lang w:val="fr-FR"/>
        </w:rPr>
        <w:t>’</w:t>
      </w:r>
      <w:r w:rsidRPr="00F40FBE">
        <w:rPr>
          <w:lang w:val="fr-FR"/>
        </w:rPr>
        <w:t>est seulement à ce moment-là qu</w:t>
      </w:r>
      <w:r w:rsidR="00F40FBE" w:rsidRPr="00F40FBE">
        <w:rPr>
          <w:lang w:val="fr-FR"/>
        </w:rPr>
        <w:t>’</w:t>
      </w:r>
      <w:r w:rsidRPr="00F40FBE">
        <w:rPr>
          <w:lang w:val="fr-FR"/>
        </w:rPr>
        <w:t>est née une « contestation » au sens de l</w:t>
      </w:r>
      <w:r w:rsidR="00F40FBE" w:rsidRPr="00F40FBE">
        <w:rPr>
          <w:lang w:val="fr-FR"/>
        </w:rPr>
        <w:t>’</w:t>
      </w:r>
      <w:r w:rsidRPr="00F40FBE">
        <w:rPr>
          <w:lang w:val="fr-FR"/>
        </w:rPr>
        <w:t>article 6</w:t>
      </w:r>
      <w:r w:rsidR="00A81190" w:rsidRPr="00F40FBE">
        <w:rPr>
          <w:lang w:val="fr-FR"/>
        </w:rPr>
        <w:t> </w:t>
      </w:r>
      <w:r w:rsidRPr="00F40FBE">
        <w:rPr>
          <w:lang w:val="fr-FR"/>
        </w:rPr>
        <w:t>§ 1 de la Convention (</w:t>
      </w:r>
      <w:r w:rsidRPr="00F40FBE">
        <w:rPr>
          <w:i/>
          <w:lang w:val="fr-FR"/>
        </w:rPr>
        <w:t>König c. Allemagne</w:t>
      </w:r>
      <w:r w:rsidRPr="00F40FBE">
        <w:rPr>
          <w:lang w:val="fr-FR"/>
        </w:rPr>
        <w:t>, 28 juin 1978, § 98, série A n</w:t>
      </w:r>
      <w:r w:rsidRPr="00F40FBE">
        <w:rPr>
          <w:vertAlign w:val="superscript"/>
          <w:lang w:val="fr-FR"/>
        </w:rPr>
        <w:t>o</w:t>
      </w:r>
      <w:r w:rsidRPr="00F40FBE">
        <w:rPr>
          <w:lang w:val="fr-FR"/>
        </w:rPr>
        <w:t xml:space="preserve"> 27</w:t>
      </w:r>
      <w:r w:rsidRPr="00F40FBE">
        <w:rPr>
          <w:i/>
          <w:lang w:val="fr-FR"/>
        </w:rPr>
        <w:t>)</w:t>
      </w:r>
      <w:r w:rsidRPr="00F40FBE">
        <w:rPr>
          <w:lang w:val="fr-FR"/>
        </w:rPr>
        <w:t> ».</w:t>
      </w:r>
    </w:p>
    <w:p w:rsidR="00F0159E" w:rsidRPr="00F40FBE" w:rsidRDefault="00F0159E" w:rsidP="00F40FBE">
      <w:pPr>
        <w:pStyle w:val="OpiPara"/>
        <w:rPr>
          <w:i/>
          <w:lang w:val="fr-FR"/>
        </w:rPr>
      </w:pPr>
      <w:r w:rsidRPr="00F40FBE">
        <w:rPr>
          <w:lang w:val="fr-FR"/>
        </w:rPr>
        <w:t xml:space="preserve">Cette approche a été confirmée, entre autres, dans les affaires </w:t>
      </w:r>
      <w:r w:rsidRPr="00F40FBE">
        <w:rPr>
          <w:i/>
          <w:lang w:val="pt-PT"/>
        </w:rPr>
        <w:t>Nichifor c. Roumanie (n</w:t>
      </w:r>
      <w:r w:rsidRPr="00F40FBE">
        <w:rPr>
          <w:rFonts w:cs="Times New Roman"/>
          <w:i/>
          <w:vertAlign w:val="superscript"/>
          <w:lang w:val="pt-PT"/>
        </w:rPr>
        <w:t>o</w:t>
      </w:r>
      <w:r w:rsidRPr="00F40FBE">
        <w:rPr>
          <w:i/>
          <w:lang w:val="pt-PT"/>
        </w:rPr>
        <w:t xml:space="preserve"> 1)</w:t>
      </w:r>
      <w:r w:rsidRPr="00F40FBE">
        <w:rPr>
          <w:lang w:val="pt-PT"/>
        </w:rPr>
        <w:t xml:space="preserve"> (n</w:t>
      </w:r>
      <w:r w:rsidRPr="00F40FBE">
        <w:rPr>
          <w:vertAlign w:val="superscript"/>
          <w:lang w:val="pt-PT"/>
        </w:rPr>
        <w:t>o </w:t>
      </w:r>
      <w:r w:rsidRPr="00F40FBE">
        <w:rPr>
          <w:lang w:val="pt-PT"/>
        </w:rPr>
        <w:t>62276/00, § 23, 13 juillet 2006),</w:t>
      </w:r>
      <w:r w:rsidRPr="00F40FBE">
        <w:rPr>
          <w:bCs/>
          <w:lang w:val="fr-FR"/>
        </w:rPr>
        <w:t xml:space="preserve"> </w:t>
      </w:r>
      <w:r w:rsidRPr="00F40FBE">
        <w:rPr>
          <w:i/>
          <w:lang w:val="fr-FR"/>
        </w:rPr>
        <w:t>Schädler et autres c. Liechtenstein</w:t>
      </w:r>
      <w:r w:rsidRPr="00F40FBE">
        <w:rPr>
          <w:lang w:val="fr-FR"/>
        </w:rPr>
        <w:t xml:space="preserve"> (n</w:t>
      </w:r>
      <w:r w:rsidRPr="00F40FBE">
        <w:rPr>
          <w:vertAlign w:val="superscript"/>
          <w:lang w:val="fr-FR"/>
        </w:rPr>
        <w:t>o</w:t>
      </w:r>
      <w:r w:rsidRPr="00F40FBE">
        <w:rPr>
          <w:lang w:val="fr-FR"/>
        </w:rPr>
        <w:t xml:space="preserve"> 32763/08, § 25, 21 octobre 2010), </w:t>
      </w:r>
      <w:r w:rsidRPr="00F40FBE">
        <w:rPr>
          <w:i/>
          <w:lang w:val="fr-FR"/>
        </w:rPr>
        <w:t>Mitkova c.</w:t>
      </w:r>
      <w:r w:rsidR="00A81190" w:rsidRPr="00F40FBE">
        <w:rPr>
          <w:i/>
          <w:lang w:val="fr-FR"/>
        </w:rPr>
        <w:t> </w:t>
      </w:r>
      <w:r w:rsidRPr="00F40FBE">
        <w:rPr>
          <w:i/>
          <w:lang w:val="fr-FR"/>
        </w:rPr>
        <w:t>l</w:t>
      </w:r>
      <w:r w:rsidR="00F40FBE" w:rsidRPr="00F40FBE">
        <w:rPr>
          <w:i/>
          <w:lang w:val="fr-FR"/>
        </w:rPr>
        <w:t>’</w:t>
      </w:r>
      <w:r w:rsidRPr="00F40FBE">
        <w:rPr>
          <w:i/>
          <w:lang w:val="fr-FR"/>
        </w:rPr>
        <w:t>ex¬République yougoslave de Macédoine</w:t>
      </w:r>
      <w:r w:rsidRPr="00F40FBE">
        <w:rPr>
          <w:lang w:val="fr-FR"/>
        </w:rPr>
        <w:t xml:space="preserve"> (n</w:t>
      </w:r>
      <w:r w:rsidRPr="00F40FBE">
        <w:rPr>
          <w:vertAlign w:val="superscript"/>
          <w:lang w:val="fr-FR"/>
        </w:rPr>
        <w:t>o</w:t>
      </w:r>
      <w:r w:rsidRPr="00F40FBE">
        <w:rPr>
          <w:lang w:val="fr-FR"/>
        </w:rPr>
        <w:t xml:space="preserve"> 48386/09</w:t>
      </w:r>
      <w:r w:rsidRPr="00F40FBE">
        <w:rPr>
          <w:snapToGrid w:val="0"/>
          <w:lang w:val="fr-FR"/>
        </w:rPr>
        <w:t>, § 49, 15</w:t>
      </w:r>
      <w:r w:rsidR="00A81190" w:rsidRPr="00F40FBE">
        <w:rPr>
          <w:snapToGrid w:val="0"/>
          <w:lang w:val="fr-FR"/>
        </w:rPr>
        <w:t> </w:t>
      </w:r>
      <w:r w:rsidRPr="00F40FBE">
        <w:rPr>
          <w:lang w:val="fr-FR"/>
        </w:rPr>
        <w:t>octobre</w:t>
      </w:r>
      <w:r w:rsidRPr="00F40FBE">
        <w:rPr>
          <w:snapToGrid w:val="0"/>
          <w:lang w:val="fr-FR"/>
        </w:rPr>
        <w:t xml:space="preserve"> 2015), </w:t>
      </w:r>
      <w:r w:rsidRPr="00F40FBE">
        <w:rPr>
          <w:i/>
          <w:lang w:val="fr-FR"/>
        </w:rPr>
        <w:t>Pejčić c. Serbie</w:t>
      </w:r>
      <w:r w:rsidRPr="00F40FBE">
        <w:rPr>
          <w:lang w:val="fr-FR"/>
        </w:rPr>
        <w:t xml:space="preserve"> (n</w:t>
      </w:r>
      <w:r w:rsidRPr="00F40FBE">
        <w:rPr>
          <w:vertAlign w:val="superscript"/>
          <w:lang w:val="fr-FR"/>
        </w:rPr>
        <w:t>o </w:t>
      </w:r>
      <w:r w:rsidRPr="00F40FBE">
        <w:rPr>
          <w:lang w:val="fr-FR"/>
        </w:rPr>
        <w:t>34799/07</w:t>
      </w:r>
      <w:r w:rsidRPr="00F40FBE">
        <w:rPr>
          <w:snapToGrid w:val="0"/>
          <w:lang w:val="fr-FR"/>
        </w:rPr>
        <w:t xml:space="preserve">, § 69, 8 </w:t>
      </w:r>
      <w:r w:rsidRPr="00F40FBE">
        <w:rPr>
          <w:lang w:val="fr-FR"/>
        </w:rPr>
        <w:t>octobre</w:t>
      </w:r>
      <w:r w:rsidRPr="00F40FBE">
        <w:rPr>
          <w:snapToGrid w:val="0"/>
          <w:lang w:val="fr-FR"/>
        </w:rPr>
        <w:t xml:space="preserve"> 2013), et </w:t>
      </w:r>
      <w:r w:rsidRPr="00F40FBE">
        <w:rPr>
          <w:i/>
          <w:lang w:val="fr-FR"/>
        </w:rPr>
        <w:t>Franz Maier GMBH c. Autriche</w:t>
      </w:r>
      <w:r w:rsidRPr="00F40FBE">
        <w:rPr>
          <w:lang w:val="fr-FR"/>
        </w:rPr>
        <w:t xml:space="preserve"> (n</w:t>
      </w:r>
      <w:r w:rsidRPr="00F40FBE">
        <w:rPr>
          <w:vertAlign w:val="superscript"/>
          <w:lang w:val="fr-FR"/>
        </w:rPr>
        <w:t>o </w:t>
      </w:r>
      <w:r w:rsidRPr="00F40FBE">
        <w:rPr>
          <w:lang w:val="fr-FR"/>
        </w:rPr>
        <w:t>24143/11, § 49, 14 février 2017).</w:t>
      </w:r>
    </w:p>
    <w:p w:rsidR="00F0159E" w:rsidRPr="00F40FBE" w:rsidRDefault="00F0159E" w:rsidP="00F40FBE">
      <w:pPr>
        <w:pStyle w:val="OpiPara"/>
        <w:rPr>
          <w:lang w:val="fr-FR"/>
        </w:rPr>
      </w:pPr>
      <w:r w:rsidRPr="00F40FBE">
        <w:rPr>
          <w:lang w:val="fr-FR"/>
        </w:rPr>
        <w:lastRenderedPageBreak/>
        <w:t>Selon cette jurisprudence, passée sous silence dans l</w:t>
      </w:r>
      <w:r w:rsidR="00F40FBE" w:rsidRPr="00F40FBE">
        <w:rPr>
          <w:lang w:val="fr-FR"/>
        </w:rPr>
        <w:t>’</w:t>
      </w:r>
      <w:r w:rsidRPr="00F40FBE">
        <w:rPr>
          <w:lang w:val="fr-FR"/>
        </w:rPr>
        <w:t>arrêt, dans le cadre d</w:t>
      </w:r>
      <w:r w:rsidR="00F40FBE" w:rsidRPr="00F40FBE">
        <w:rPr>
          <w:lang w:val="fr-FR"/>
        </w:rPr>
        <w:t>’</w:t>
      </w:r>
      <w:r w:rsidRPr="00F40FBE">
        <w:rPr>
          <w:lang w:val="fr-FR"/>
        </w:rPr>
        <w:t>une procédure administrative non contentieuse, une contestation naît si une personne introduit un recours contre un acte administratif pris à son égard. Tant que l</w:t>
      </w:r>
      <w:r w:rsidR="00F40FBE" w:rsidRPr="00F40FBE">
        <w:rPr>
          <w:lang w:val="fr-FR"/>
        </w:rPr>
        <w:t>’</w:t>
      </w:r>
      <w:r w:rsidRPr="00F40FBE">
        <w:rPr>
          <w:lang w:val="fr-FR"/>
        </w:rPr>
        <w:t>intéressé n</w:t>
      </w:r>
      <w:r w:rsidR="00F40FBE" w:rsidRPr="00F40FBE">
        <w:rPr>
          <w:lang w:val="fr-FR"/>
        </w:rPr>
        <w:t>’</w:t>
      </w:r>
      <w:r w:rsidRPr="00F40FBE">
        <w:rPr>
          <w:lang w:val="fr-FR"/>
        </w:rPr>
        <w:t>a pas introduit de recours contre le premier acte administratif, il n</w:t>
      </w:r>
      <w:r w:rsidR="00F40FBE" w:rsidRPr="00F40FBE">
        <w:rPr>
          <w:lang w:val="fr-FR"/>
        </w:rPr>
        <w:t>’</w:t>
      </w:r>
      <w:r w:rsidRPr="00F40FBE">
        <w:rPr>
          <w:lang w:val="fr-FR"/>
        </w:rPr>
        <w:t>y a pas de contestation.</w:t>
      </w:r>
    </w:p>
    <w:p w:rsidR="00A71776" w:rsidRPr="00F40FBE" w:rsidRDefault="00F0159E" w:rsidP="00F40FBE">
      <w:pPr>
        <w:pStyle w:val="OpiPara"/>
        <w:rPr>
          <w:lang w:val="fr-FR"/>
        </w:rPr>
      </w:pPr>
      <w:r w:rsidRPr="00F40FBE">
        <w:rPr>
          <w:lang w:val="fr-FR"/>
        </w:rPr>
        <w:t>Dans la présente affaire, il y a effectivement eu une contestation concernant la prise en considération de la créance du requérant. Le litige a été réglé définitivement par l</w:t>
      </w:r>
      <w:r w:rsidR="00F40FBE" w:rsidRPr="00F40FBE">
        <w:rPr>
          <w:lang w:val="fr-FR"/>
        </w:rPr>
        <w:t>’</w:t>
      </w:r>
      <w:r w:rsidRPr="00F40FBE">
        <w:rPr>
          <w:lang w:val="fr-FR"/>
        </w:rPr>
        <w:t>arrêt du tribunal de Macerata en date du 17 avril 1997 (paragraphe 10). La créance du requérant a été reconnue par le juge. Depuis lors, il n</w:t>
      </w:r>
      <w:r w:rsidR="00F40FBE" w:rsidRPr="00F40FBE">
        <w:rPr>
          <w:lang w:val="fr-FR"/>
        </w:rPr>
        <w:t>’</w:t>
      </w:r>
      <w:r w:rsidRPr="00F40FBE">
        <w:rPr>
          <w:lang w:val="fr-FR"/>
        </w:rPr>
        <w:t>y a eu aucune nouvelle contestation, aucun nouveau litige. Personne ne conteste que la société placée en liquidation administrative n</w:t>
      </w:r>
      <w:r w:rsidR="00F40FBE" w:rsidRPr="00F40FBE">
        <w:rPr>
          <w:lang w:val="fr-FR"/>
        </w:rPr>
        <w:t>’</w:t>
      </w:r>
      <w:r w:rsidRPr="00F40FBE">
        <w:rPr>
          <w:lang w:val="fr-FR"/>
        </w:rPr>
        <w:t>est pas en mesure de payer ses dettes. Le requérant attend une décision qui déterminera quelle partie de sa créance lui sera remboursée. Une contestation peut naître à l</w:t>
      </w:r>
      <w:r w:rsidR="00F40FBE" w:rsidRPr="00F40FBE">
        <w:rPr>
          <w:lang w:val="fr-FR"/>
        </w:rPr>
        <w:t>’</w:t>
      </w:r>
      <w:r w:rsidRPr="00F40FBE">
        <w:rPr>
          <w:lang w:val="fr-FR"/>
        </w:rPr>
        <w:t>avenir si le requérant n</w:t>
      </w:r>
      <w:r w:rsidR="00F40FBE" w:rsidRPr="00F40FBE">
        <w:rPr>
          <w:lang w:val="fr-FR"/>
        </w:rPr>
        <w:t>’</w:t>
      </w:r>
      <w:r w:rsidRPr="00F40FBE">
        <w:rPr>
          <w:lang w:val="fr-FR"/>
        </w:rPr>
        <w:t>est pas satisfait du déroulement ou de l</w:t>
      </w:r>
      <w:r w:rsidR="00F40FBE" w:rsidRPr="00F40FBE">
        <w:rPr>
          <w:lang w:val="fr-FR"/>
        </w:rPr>
        <w:t>’</w:t>
      </w:r>
      <w:r w:rsidRPr="00F40FBE">
        <w:rPr>
          <w:lang w:val="fr-FR"/>
        </w:rPr>
        <w:t>issue de la procédure.</w:t>
      </w:r>
    </w:p>
    <w:p w:rsidR="00A71776" w:rsidRPr="00F40FBE" w:rsidRDefault="00F0159E" w:rsidP="00F40FBE">
      <w:pPr>
        <w:pStyle w:val="OpiPara"/>
        <w:rPr>
          <w:lang w:val="fr-FR"/>
        </w:rPr>
      </w:pPr>
      <w:r w:rsidRPr="00F40FBE">
        <w:rPr>
          <w:lang w:val="fr-FR"/>
        </w:rPr>
        <w:t>4.  La majorité argumente de la façon suivante :</w:t>
      </w:r>
    </w:p>
    <w:p w:rsidR="00F0159E" w:rsidRPr="00F40FBE" w:rsidRDefault="00F0159E" w:rsidP="00F40FBE">
      <w:pPr>
        <w:pStyle w:val="OpiQuot"/>
        <w:rPr>
          <w:lang w:val="fr-FR"/>
        </w:rPr>
      </w:pPr>
      <w:r w:rsidRPr="00F40FBE">
        <w:rPr>
          <w:lang w:val="fr-FR"/>
        </w:rPr>
        <w:t>« En ce qui concerne la procédure de faillite, la Cour a toujours considéré qu</w:t>
      </w:r>
      <w:r w:rsidR="00F40FBE" w:rsidRPr="00F40FBE">
        <w:rPr>
          <w:lang w:val="fr-FR"/>
        </w:rPr>
        <w:t>’</w:t>
      </w:r>
      <w:r w:rsidRPr="00F40FBE">
        <w:rPr>
          <w:lang w:val="fr-FR"/>
        </w:rPr>
        <w:t>il y a contestation à partir du moment où le créancier dépose une déclaration de créance</w:t>
      </w:r>
      <w:r w:rsidRPr="00F40FBE">
        <w:rPr>
          <w:i/>
          <w:lang w:val="fr-FR"/>
        </w:rPr>
        <w:t xml:space="preserve"> (Savona c. Italie</w:t>
      </w:r>
      <w:r w:rsidRPr="00F40FBE">
        <w:rPr>
          <w:lang w:val="fr-FR"/>
        </w:rPr>
        <w:t>,</w:t>
      </w:r>
      <w:r w:rsidRPr="00F40FBE">
        <w:rPr>
          <w:i/>
          <w:lang w:val="fr-FR"/>
        </w:rPr>
        <w:t xml:space="preserve"> </w:t>
      </w:r>
      <w:r w:rsidRPr="00F40FBE">
        <w:rPr>
          <w:lang w:val="fr-FR"/>
        </w:rPr>
        <w:t>n</w:t>
      </w:r>
      <w:r w:rsidRPr="00F40FBE">
        <w:rPr>
          <w:vertAlign w:val="superscript"/>
          <w:lang w:val="fr-FR"/>
        </w:rPr>
        <w:t>o</w:t>
      </w:r>
      <w:r w:rsidRPr="00F40FBE">
        <w:rPr>
          <w:lang w:val="fr-FR"/>
        </w:rPr>
        <w:t xml:space="preserve"> 38479/97,</w:t>
      </w:r>
      <w:r w:rsidRPr="00F40FBE">
        <w:rPr>
          <w:i/>
          <w:lang w:val="fr-FR"/>
        </w:rPr>
        <w:t xml:space="preserve"> </w:t>
      </w:r>
      <w:r w:rsidRPr="00F40FBE">
        <w:rPr>
          <w:lang w:val="fr-FR"/>
        </w:rPr>
        <w:t>§§ 7 et 14, 15 février 2000</w:t>
      </w:r>
      <w:r w:rsidRPr="00F40FBE">
        <w:rPr>
          <w:i/>
          <w:lang w:val="fr-FR"/>
        </w:rPr>
        <w:t xml:space="preserve">, Venturini c. Italie, </w:t>
      </w:r>
      <w:r w:rsidRPr="00F40FBE">
        <w:rPr>
          <w:lang w:val="fr-FR"/>
        </w:rPr>
        <w:t>n</w:t>
      </w:r>
      <w:r w:rsidRPr="00F40FBE">
        <w:rPr>
          <w:vertAlign w:val="superscript"/>
          <w:lang w:val="fr-FR"/>
        </w:rPr>
        <w:t>o </w:t>
      </w:r>
      <w:r w:rsidRPr="00F40FBE">
        <w:rPr>
          <w:lang w:val="fr-FR"/>
        </w:rPr>
        <w:t>44534/98, §§ 4 et 10, 1</w:t>
      </w:r>
      <w:r w:rsidRPr="00F40FBE">
        <w:rPr>
          <w:vertAlign w:val="superscript"/>
          <w:lang w:val="fr-FR"/>
        </w:rPr>
        <w:t xml:space="preserve">er </w:t>
      </w:r>
      <w:r w:rsidRPr="00F40FBE">
        <w:rPr>
          <w:lang w:val="fr-FR"/>
        </w:rPr>
        <w:t>mars 2001, et</w:t>
      </w:r>
      <w:r w:rsidRPr="00F40FBE">
        <w:rPr>
          <w:i/>
          <w:lang w:val="fr-FR"/>
        </w:rPr>
        <w:t xml:space="preserve"> Ragas c. Italie, </w:t>
      </w:r>
      <w:r w:rsidRPr="00F40FBE">
        <w:rPr>
          <w:lang w:val="fr-FR"/>
        </w:rPr>
        <w:t>n</w:t>
      </w:r>
      <w:r w:rsidRPr="00F40FBE">
        <w:rPr>
          <w:vertAlign w:val="superscript"/>
          <w:lang w:val="fr-FR"/>
        </w:rPr>
        <w:t>o</w:t>
      </w:r>
      <w:r w:rsidRPr="00F40FBE">
        <w:rPr>
          <w:lang w:val="fr-FR"/>
        </w:rPr>
        <w:t xml:space="preserve"> 44524/98, §§ 3 et 9, 23 octobre 2001). »</w:t>
      </w:r>
    </w:p>
    <w:p w:rsidR="00F0159E" w:rsidRPr="00F40FBE" w:rsidRDefault="00F0159E" w:rsidP="00F40FBE">
      <w:pPr>
        <w:pStyle w:val="OpiPara"/>
        <w:rPr>
          <w:lang w:val="fr-FR"/>
        </w:rPr>
      </w:pPr>
      <w:r w:rsidRPr="00F40FBE">
        <w:rPr>
          <w:lang w:val="fr-FR"/>
        </w:rPr>
        <w:t>Je constate que dans les affaires citées ici, la Cour a effectivement calculé la durée de la procédure à partir de la date à laquelle un créancier avait déposé une déclaration de créance, mais qu</w:t>
      </w:r>
      <w:r w:rsidR="00F40FBE" w:rsidRPr="00F40FBE">
        <w:rPr>
          <w:lang w:val="fr-FR"/>
        </w:rPr>
        <w:t>’</w:t>
      </w:r>
      <w:r w:rsidRPr="00F40FBE">
        <w:rPr>
          <w:lang w:val="fr-FR"/>
        </w:rPr>
        <w:t>elle l</w:t>
      </w:r>
      <w:r w:rsidR="00F40FBE" w:rsidRPr="00F40FBE">
        <w:rPr>
          <w:lang w:val="fr-FR"/>
        </w:rPr>
        <w:t>’</w:t>
      </w:r>
      <w:r w:rsidRPr="00F40FBE">
        <w:rPr>
          <w:lang w:val="fr-FR"/>
        </w:rPr>
        <w:t>a fait sans donner aucune explication à cet égard. Elle a complètement omis d</w:t>
      </w:r>
      <w:r w:rsidR="00F40FBE" w:rsidRPr="00F40FBE">
        <w:rPr>
          <w:lang w:val="fr-FR"/>
        </w:rPr>
        <w:t>’</w:t>
      </w:r>
      <w:r w:rsidRPr="00F40FBE">
        <w:rPr>
          <w:lang w:val="fr-FR"/>
        </w:rPr>
        <w:t>examiner si une contestation existait bel et bien à cette date. En particulier, elle n</w:t>
      </w:r>
      <w:r w:rsidR="00F40FBE" w:rsidRPr="00F40FBE">
        <w:rPr>
          <w:lang w:val="fr-FR"/>
        </w:rPr>
        <w:t>’</w:t>
      </w:r>
      <w:r w:rsidRPr="00F40FBE">
        <w:rPr>
          <w:lang w:val="fr-FR"/>
        </w:rPr>
        <w:t>a pas examiné si la situation du requérant remplissait les critères d</w:t>
      </w:r>
      <w:r w:rsidR="00F40FBE" w:rsidRPr="00F40FBE">
        <w:rPr>
          <w:lang w:val="fr-FR"/>
        </w:rPr>
        <w:t>’</w:t>
      </w:r>
      <w:r w:rsidRPr="00F40FBE">
        <w:rPr>
          <w:lang w:val="fr-FR"/>
        </w:rPr>
        <w:t>applicabilité énoncés dans sa jurisprudence. Elle n</w:t>
      </w:r>
      <w:r w:rsidR="00F40FBE" w:rsidRPr="00F40FBE">
        <w:rPr>
          <w:lang w:val="fr-FR"/>
        </w:rPr>
        <w:t>’</w:t>
      </w:r>
      <w:r w:rsidRPr="00F40FBE">
        <w:rPr>
          <w:lang w:val="fr-FR"/>
        </w:rPr>
        <w:t>a pas non plus formulé explicitement le point de vue selon lequel il y aurait contestation à partir du moment où le créancier dépose une déclaration de créance. Les raisons du choix de l</w:t>
      </w:r>
      <w:r w:rsidR="00F40FBE" w:rsidRPr="00F40FBE">
        <w:rPr>
          <w:lang w:val="fr-FR"/>
        </w:rPr>
        <w:t>’</w:t>
      </w:r>
      <w:r w:rsidRPr="00F40FBE">
        <w:rPr>
          <w:lang w:val="fr-FR"/>
        </w:rPr>
        <w:t>approche retenue dans ces affaires restent inconnues.</w:t>
      </w:r>
    </w:p>
    <w:p w:rsidR="00F0159E" w:rsidRPr="00F40FBE" w:rsidRDefault="00F0159E" w:rsidP="00F40FBE">
      <w:pPr>
        <w:pStyle w:val="OpiPara"/>
        <w:rPr>
          <w:lang w:val="fr-FR"/>
        </w:rPr>
      </w:pPr>
      <w:r w:rsidRPr="00F40FBE">
        <w:rPr>
          <w:lang w:val="fr-FR"/>
        </w:rPr>
        <w:t>Je note ici aussi que le seul fait qu</w:t>
      </w:r>
      <w:r w:rsidR="00F40FBE" w:rsidRPr="00F40FBE">
        <w:rPr>
          <w:lang w:val="fr-FR"/>
        </w:rPr>
        <w:t>’</w:t>
      </w:r>
      <w:r w:rsidRPr="00F40FBE">
        <w:rPr>
          <w:lang w:val="fr-FR"/>
        </w:rPr>
        <w:t>une affaire relève de la compétence d</w:t>
      </w:r>
      <w:r w:rsidR="00F40FBE" w:rsidRPr="00F40FBE">
        <w:rPr>
          <w:lang w:val="fr-FR"/>
        </w:rPr>
        <w:t>’</w:t>
      </w:r>
      <w:r w:rsidRPr="00F40FBE">
        <w:rPr>
          <w:lang w:val="fr-FR"/>
        </w:rPr>
        <w:t>une juridiction et concerne un droit de caractère civil ne rend pas automatiquement l</w:t>
      </w:r>
      <w:r w:rsidR="00F40FBE" w:rsidRPr="00F40FBE">
        <w:rPr>
          <w:lang w:val="fr-FR"/>
        </w:rPr>
        <w:t>’</w:t>
      </w:r>
      <w:r w:rsidRPr="00F40FBE">
        <w:rPr>
          <w:lang w:val="fr-FR"/>
        </w:rPr>
        <w:t>article 6 applicable. Dans certains systèmes juridiques, les juridictions ont parfois compétence pour statuer sur des questions non litigieuses, à caractère administratif, qui pourraient être du ressort des autorités administratives.</w:t>
      </w:r>
    </w:p>
    <w:p w:rsidR="00DE5C8B" w:rsidRPr="00F40FBE" w:rsidRDefault="00F0159E" w:rsidP="00F40FBE">
      <w:pPr>
        <w:pStyle w:val="OpiPara"/>
        <w:rPr>
          <w:lang w:val="fr-FR"/>
        </w:rPr>
      </w:pPr>
      <w:r w:rsidRPr="00F40FBE">
        <w:rPr>
          <w:lang w:val="fr-FR"/>
        </w:rPr>
        <w:t>5.  La question de l</w:t>
      </w:r>
      <w:r w:rsidR="00F40FBE" w:rsidRPr="00F40FBE">
        <w:rPr>
          <w:lang w:val="fr-FR"/>
        </w:rPr>
        <w:t>’</w:t>
      </w:r>
      <w:r w:rsidRPr="00F40FBE">
        <w:rPr>
          <w:lang w:val="fr-FR"/>
        </w:rPr>
        <w:t>applicabilité de l</w:t>
      </w:r>
      <w:r w:rsidR="00F40FBE" w:rsidRPr="00F40FBE">
        <w:rPr>
          <w:lang w:val="fr-FR"/>
        </w:rPr>
        <w:t>’</w:t>
      </w:r>
      <w:r w:rsidRPr="00F40FBE">
        <w:rPr>
          <w:lang w:val="fr-FR"/>
        </w:rPr>
        <w:t>article 6 à la procédure de liquidation administrative est traitée dans la jurisprudence établie de la Commission européenne des droits de l</w:t>
      </w:r>
      <w:r w:rsidR="00F40FBE" w:rsidRPr="00F40FBE">
        <w:rPr>
          <w:lang w:val="fr-FR"/>
        </w:rPr>
        <w:t>’</w:t>
      </w:r>
      <w:r w:rsidRPr="00F40FBE">
        <w:rPr>
          <w:lang w:val="fr-FR"/>
        </w:rPr>
        <w:t>homme. La chambre a décidé de s</w:t>
      </w:r>
      <w:r w:rsidR="00F40FBE" w:rsidRPr="00F40FBE">
        <w:rPr>
          <w:lang w:val="fr-FR"/>
        </w:rPr>
        <w:t>’</w:t>
      </w:r>
      <w:r w:rsidRPr="00F40FBE">
        <w:rPr>
          <w:lang w:val="fr-FR"/>
        </w:rPr>
        <w:t>écarter de cette jurisprudence sans examiner la question en profondeur. Elle s</w:t>
      </w:r>
      <w:r w:rsidR="00F40FBE" w:rsidRPr="00F40FBE">
        <w:rPr>
          <w:lang w:val="fr-FR"/>
        </w:rPr>
        <w:t>’</w:t>
      </w:r>
      <w:r w:rsidRPr="00F40FBE">
        <w:rPr>
          <w:lang w:val="fr-FR"/>
        </w:rPr>
        <w:t>écarte aussi de la jurisprudence établie concernant la procédure administrative non contentieuse. L</w:t>
      </w:r>
      <w:r w:rsidR="00F40FBE" w:rsidRPr="00F40FBE">
        <w:rPr>
          <w:lang w:val="fr-FR"/>
        </w:rPr>
        <w:t>’</w:t>
      </w:r>
      <w:r w:rsidRPr="00F40FBE">
        <w:rPr>
          <w:lang w:val="fr-FR"/>
        </w:rPr>
        <w:t xml:space="preserve">approche adoptée revient à étendre la notion de contestation à toute affaire administrative dans laquelle un </w:t>
      </w:r>
      <w:r w:rsidRPr="00F40FBE">
        <w:rPr>
          <w:lang w:val="fr-FR"/>
        </w:rPr>
        <w:lastRenderedPageBreak/>
        <w:t>pouvoir public doit prendre un acte déterminant les droits (droits de caractère civil au sens de l</w:t>
      </w:r>
      <w:r w:rsidR="00F40FBE" w:rsidRPr="00F40FBE">
        <w:rPr>
          <w:lang w:val="fr-FR"/>
        </w:rPr>
        <w:t>’</w:t>
      </w:r>
      <w:r w:rsidRPr="00F40FBE">
        <w:rPr>
          <w:lang w:val="fr-FR"/>
        </w:rPr>
        <w:t>article 6) d</w:t>
      </w:r>
      <w:r w:rsidR="00F40FBE" w:rsidRPr="00F40FBE">
        <w:rPr>
          <w:lang w:val="fr-FR"/>
        </w:rPr>
        <w:t>’</w:t>
      </w:r>
      <w:r w:rsidRPr="00F40FBE">
        <w:rPr>
          <w:lang w:val="fr-FR"/>
        </w:rPr>
        <w:t>une personne.</w:t>
      </w:r>
    </w:p>
    <w:sectPr w:rsidR="00DE5C8B" w:rsidRPr="00F40FBE" w:rsidSect="00F0159E">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9A" w:rsidRPr="00CA341A" w:rsidRDefault="00646C9A" w:rsidP="006A1E45">
      <w:pPr>
        <w:rPr>
          <w:lang w:val="fr-FR"/>
        </w:rPr>
      </w:pPr>
      <w:r w:rsidRPr="00CA341A">
        <w:rPr>
          <w:lang w:val="fr-FR"/>
        </w:rPr>
        <w:separator/>
      </w:r>
    </w:p>
  </w:endnote>
  <w:endnote w:type="continuationSeparator" w:id="0">
    <w:p w:rsidR="00646C9A" w:rsidRPr="00CA341A" w:rsidRDefault="00646C9A" w:rsidP="006A1E45">
      <w:pPr>
        <w:rPr>
          <w:lang w:val="fr-FR"/>
        </w:rPr>
      </w:pPr>
      <w:r w:rsidRPr="00CA341A">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76" w:rsidRPr="00150BFA" w:rsidRDefault="00A71776" w:rsidP="00EE3D89">
    <w:pPr>
      <w:jc w:val="center"/>
    </w:pPr>
    <w:r>
      <w:rPr>
        <w:noProof/>
        <w:lang w:val="it-IT" w:eastAsia="it-IT"/>
      </w:rPr>
      <w:drawing>
        <wp:inline distT="0" distB="0" distL="0" distR="0" wp14:anchorId="07600B44" wp14:editId="0A9CD3F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71776" w:rsidRDefault="00A717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9A" w:rsidRPr="00CA341A" w:rsidRDefault="00646C9A" w:rsidP="006A1E45">
      <w:pPr>
        <w:rPr>
          <w:lang w:val="fr-FR"/>
        </w:rPr>
      </w:pPr>
      <w:r w:rsidRPr="00CA341A">
        <w:rPr>
          <w:lang w:val="fr-FR"/>
        </w:rPr>
        <w:separator/>
      </w:r>
    </w:p>
  </w:footnote>
  <w:footnote w:type="continuationSeparator" w:id="0">
    <w:p w:rsidR="00646C9A" w:rsidRPr="00CA341A" w:rsidRDefault="00646C9A" w:rsidP="006A1E45">
      <w:pPr>
        <w:rPr>
          <w:lang w:val="fr-FR"/>
        </w:rPr>
      </w:pPr>
      <w:r w:rsidRPr="00CA341A">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76" w:rsidRPr="00EE3D89" w:rsidRDefault="00A71776" w:rsidP="00EE3D89">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76" w:rsidRPr="00A45145" w:rsidRDefault="00A71776" w:rsidP="00EE3D89">
    <w:pPr>
      <w:jc w:val="center"/>
    </w:pPr>
    <w:r>
      <w:rPr>
        <w:noProof/>
        <w:lang w:val="it-IT" w:eastAsia="it-IT"/>
      </w:rPr>
      <w:drawing>
        <wp:inline distT="0" distB="0" distL="0" distR="0" wp14:anchorId="3BD57AA0" wp14:editId="07CE109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71776" w:rsidRDefault="00A7177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76" w:rsidRPr="004F1DB2" w:rsidRDefault="00A71776" w:rsidP="0086135D">
    <w:pPr>
      <w:pStyle w:val="ECHRHeader"/>
    </w:pPr>
    <w:r>
      <w:rPr>
        <w:rStyle w:val="Numeropagina"/>
      </w:rPr>
      <w:fldChar w:fldCharType="begin"/>
    </w:r>
    <w:r>
      <w:rPr>
        <w:rStyle w:val="Numeropagina"/>
      </w:rPr>
      <w:instrText xml:space="preserve"> PAGE </w:instrText>
    </w:r>
    <w:r>
      <w:rPr>
        <w:rStyle w:val="Numeropagina"/>
      </w:rPr>
      <w:fldChar w:fldCharType="separate"/>
    </w:r>
    <w:r w:rsidR="0006775C">
      <w:rPr>
        <w:rStyle w:val="Numeropagina"/>
        <w:noProof/>
      </w:rPr>
      <w:t>6</w:t>
    </w:r>
    <w:r>
      <w:rPr>
        <w:rStyle w:val="Numeropagina"/>
      </w:rPr>
      <w:fldChar w:fldCharType="end"/>
    </w:r>
    <w:r w:rsidRPr="004F1DB2">
      <w:rPr>
        <w:rStyle w:val="Numeropagina"/>
      </w:rPr>
      <w:tab/>
    </w:r>
    <w:r>
      <w:t>ARRÊT</w:t>
    </w:r>
    <w:r w:rsidRPr="004F1DB2">
      <w:t xml:space="preserve"> </w:t>
    </w:r>
    <w:r>
      <w:t>CIPOLLETTA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76" w:rsidRPr="00CA341A" w:rsidRDefault="00A71776" w:rsidP="006A1E45">
    <w:pPr>
      <w:pStyle w:val="ECHRHeader"/>
      <w:rPr>
        <w:lang w:val="fr-FR"/>
      </w:rPr>
    </w:pPr>
    <w:r w:rsidRPr="00CA341A">
      <w:rPr>
        <w:lang w:val="fr-FR"/>
      </w:rPr>
      <w:tab/>
    </w:r>
    <w:r>
      <w:t>ARRÊT</w:t>
    </w:r>
    <w:r w:rsidRPr="004F1DB2">
      <w:t xml:space="preserve"> </w:t>
    </w:r>
    <w:r>
      <w:t>CIPOLLETTA c. ITALIE</w:t>
    </w:r>
    <w:r w:rsidRPr="004F1DB2">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06775C">
      <w:rPr>
        <w:rStyle w:val="Numeropagina"/>
        <w:noProof/>
        <w:lang w:val="fr-FR"/>
      </w:rPr>
      <w:t>7</w:t>
    </w:r>
    <w:r>
      <w:rPr>
        <w:rStyle w:val="Numeropagina"/>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76" w:rsidRPr="00F0159E" w:rsidRDefault="00A71776" w:rsidP="00F0159E">
    <w:pPr>
      <w:pStyle w:val="ECHRHeader"/>
      <w:tabs>
        <w:tab w:val="clear" w:pos="3686"/>
        <w:tab w:val="clear" w:pos="7371"/>
        <w:tab w:val="center" w:pos="3685"/>
      </w:tabs>
      <w:rPr>
        <w:lang w:val="fr-FR"/>
      </w:rPr>
    </w:pPr>
    <w:r>
      <w:rPr>
        <w:rStyle w:val="Numeropagina"/>
      </w:rPr>
      <w:fldChar w:fldCharType="begin"/>
    </w:r>
    <w:r w:rsidRPr="00F0159E">
      <w:rPr>
        <w:rStyle w:val="Numeropagina"/>
        <w:lang w:val="fr-FR"/>
      </w:rPr>
      <w:instrText xml:space="preserve"> PAGE </w:instrText>
    </w:r>
    <w:r>
      <w:rPr>
        <w:rStyle w:val="Numeropagina"/>
      </w:rPr>
      <w:fldChar w:fldCharType="separate"/>
    </w:r>
    <w:r w:rsidR="0006775C">
      <w:rPr>
        <w:rStyle w:val="Numeropagina"/>
        <w:noProof/>
        <w:lang w:val="fr-FR"/>
      </w:rPr>
      <w:t>16</w:t>
    </w:r>
    <w:r>
      <w:rPr>
        <w:rStyle w:val="Numeropagina"/>
      </w:rPr>
      <w:fldChar w:fldCharType="end"/>
    </w:r>
    <w:r w:rsidRPr="00F0159E">
      <w:rPr>
        <w:rStyle w:val="Numeropagina"/>
        <w:lang w:val="fr-FR"/>
      </w:rPr>
      <w:tab/>
    </w:r>
    <w:r w:rsidRPr="00F0159E">
      <w:rPr>
        <w:lang w:val="fr-FR"/>
      </w:rPr>
      <w:t>ARRÊT CIPOLLETTA c. ITALIE - OPINION</w:t>
    </w:r>
    <w:r>
      <w:rPr>
        <w:lang w:val="fr-FR"/>
      </w:rPr>
      <w:t>S</w:t>
    </w:r>
    <w:r w:rsidRPr="00F0159E">
      <w:rPr>
        <w:lang w:val="fr-FR"/>
      </w:rPr>
      <w:t xml:space="preserve"> SÉPARÉE</w:t>
    </w:r>
    <w:r>
      <w:rPr>
        <w:lang w:val="fr-FR"/>
      </w:rPr>
      <w: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76" w:rsidRPr="00CA341A" w:rsidRDefault="00A71776" w:rsidP="00F0159E">
    <w:pPr>
      <w:pStyle w:val="ECHRHeader"/>
      <w:tabs>
        <w:tab w:val="clear" w:pos="3686"/>
        <w:tab w:val="clear" w:pos="7371"/>
        <w:tab w:val="center" w:pos="3685"/>
        <w:tab w:val="right" w:pos="7370"/>
      </w:tabs>
      <w:rPr>
        <w:lang w:val="fr-FR"/>
      </w:rPr>
    </w:pPr>
    <w:r w:rsidRPr="00CA341A">
      <w:rPr>
        <w:lang w:val="fr-FR"/>
      </w:rPr>
      <w:tab/>
    </w:r>
    <w:r w:rsidRPr="00F0159E">
      <w:rPr>
        <w:lang w:val="fr-FR"/>
      </w:rPr>
      <w:t>ARRÊT CIPOLLETTA c. ITALIE - OPINION</w:t>
    </w:r>
    <w:r>
      <w:rPr>
        <w:lang w:val="fr-FR"/>
      </w:rPr>
      <w:t>S</w:t>
    </w:r>
    <w:r w:rsidRPr="00F0159E">
      <w:rPr>
        <w:lang w:val="fr-FR"/>
      </w:rPr>
      <w:t xml:space="preserve"> SÉPARÉE</w:t>
    </w:r>
    <w:r>
      <w:rPr>
        <w:lang w:val="fr-FR"/>
      </w:rPr>
      <w:t>S</w:t>
    </w:r>
    <w:r w:rsidRPr="00F0159E">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06775C">
      <w:rPr>
        <w:rStyle w:val="Numeropagina"/>
        <w:noProof/>
        <w:lang w:val="fr-FR"/>
      </w:rPr>
      <w:t>15</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4AD03C"/>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DB02945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0D76E4CA"/>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F370A2F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B7C187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2"/>
    <w:multiLevelType w:val="singleLevel"/>
    <w:tmpl w:val="32C4FDE6"/>
    <w:lvl w:ilvl="0">
      <w:start w:val="1"/>
      <w:numFmt w:val="bullet"/>
      <w:pStyle w:val="Puntoelenco3"/>
      <w:lvlText w:val=""/>
      <w:lvlJc w:val="left"/>
      <w:pPr>
        <w:tabs>
          <w:tab w:val="num" w:pos="926"/>
        </w:tabs>
        <w:ind w:left="926" w:hanging="360"/>
      </w:pPr>
      <w:rPr>
        <w:rFonts w:ascii="Symbol" w:hAnsi="Symbol" w:hint="default"/>
      </w:rPr>
    </w:lvl>
  </w:abstractNum>
  <w:abstractNum w:abstractNumId="6">
    <w:nsid w:val="FFFFFF83"/>
    <w:multiLevelType w:val="singleLevel"/>
    <w:tmpl w:val="3B7A3C6A"/>
    <w:lvl w:ilvl="0">
      <w:start w:val="1"/>
      <w:numFmt w:val="bullet"/>
      <w:pStyle w:val="Puntoelenco2"/>
      <w:lvlText w:val=""/>
      <w:lvlJc w:val="left"/>
      <w:pPr>
        <w:tabs>
          <w:tab w:val="num" w:pos="643"/>
        </w:tabs>
        <w:ind w:left="643" w:hanging="360"/>
      </w:pPr>
      <w:rPr>
        <w:rFonts w:ascii="Symbol" w:hAnsi="Symbol" w:hint="default"/>
      </w:rPr>
    </w:lvl>
  </w:abstractNum>
  <w:abstractNum w:abstractNumId="7">
    <w:nsid w:val="FFFFFF88"/>
    <w:multiLevelType w:val="singleLevel"/>
    <w:tmpl w:val="ACC6CEB0"/>
    <w:lvl w:ilvl="0">
      <w:start w:val="1"/>
      <w:numFmt w:val="decimal"/>
      <w:pStyle w:val="Numeroelenco"/>
      <w:lvlText w:val="%1."/>
      <w:lvlJc w:val="left"/>
      <w:pPr>
        <w:tabs>
          <w:tab w:val="num" w:pos="360"/>
        </w:tabs>
        <w:ind w:left="360" w:hanging="360"/>
      </w:pPr>
    </w:lvl>
  </w:abstractNum>
  <w:abstractNum w:abstractNumId="8">
    <w:nsid w:val="FFFFFF89"/>
    <w:multiLevelType w:val="singleLevel"/>
    <w:tmpl w:val="6CDA51D2"/>
    <w:lvl w:ilvl="0">
      <w:start w:val="1"/>
      <w:numFmt w:val="bullet"/>
      <w:pStyle w:val="Puntoelenco"/>
      <w:lvlText w:val=""/>
      <w:lvlJc w:val="left"/>
      <w:pPr>
        <w:tabs>
          <w:tab w:val="num" w:pos="360"/>
        </w:tabs>
        <w:ind w:left="360" w:hanging="360"/>
      </w:pPr>
      <w:rPr>
        <w:rFonts w:ascii="Symbol" w:hAnsi="Symbol" w:hint="default"/>
      </w:rPr>
    </w:lvl>
  </w:abstractNum>
  <w:abstractNum w:abstractNumId="9">
    <w:nsid w:val="11AD50B3"/>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4AE4525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3F7613"/>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1"/>
  </w:num>
  <w:num w:numId="12">
    <w:abstractNumId w:val="9"/>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3F2FC4"/>
    <w:rsid w:val="000038D3"/>
    <w:rsid w:val="000041F8"/>
    <w:rsid w:val="000042A8"/>
    <w:rsid w:val="00004308"/>
    <w:rsid w:val="00005BF0"/>
    <w:rsid w:val="00007154"/>
    <w:rsid w:val="000103AE"/>
    <w:rsid w:val="00011D69"/>
    <w:rsid w:val="00012AD3"/>
    <w:rsid w:val="00014FEA"/>
    <w:rsid w:val="00015C2D"/>
    <w:rsid w:val="00015F00"/>
    <w:rsid w:val="00020283"/>
    <w:rsid w:val="000202C7"/>
    <w:rsid w:val="000202ED"/>
    <w:rsid w:val="00020FDA"/>
    <w:rsid w:val="00022C1D"/>
    <w:rsid w:val="00034987"/>
    <w:rsid w:val="000364FA"/>
    <w:rsid w:val="00042114"/>
    <w:rsid w:val="0004228A"/>
    <w:rsid w:val="00052978"/>
    <w:rsid w:val="000550B8"/>
    <w:rsid w:val="0005697C"/>
    <w:rsid w:val="000602DF"/>
    <w:rsid w:val="00061B05"/>
    <w:rsid w:val="000632D5"/>
    <w:rsid w:val="000644EE"/>
    <w:rsid w:val="000673DF"/>
    <w:rsid w:val="0006775C"/>
    <w:rsid w:val="00081FB1"/>
    <w:rsid w:val="00085DE1"/>
    <w:rsid w:val="00090587"/>
    <w:rsid w:val="000925AD"/>
    <w:rsid w:val="000A24EB"/>
    <w:rsid w:val="000A42AD"/>
    <w:rsid w:val="000B2E60"/>
    <w:rsid w:val="000B6923"/>
    <w:rsid w:val="000C1422"/>
    <w:rsid w:val="000C3022"/>
    <w:rsid w:val="000C4965"/>
    <w:rsid w:val="000C5F3C"/>
    <w:rsid w:val="000C6DCC"/>
    <w:rsid w:val="000C702A"/>
    <w:rsid w:val="000D47AA"/>
    <w:rsid w:val="000D721F"/>
    <w:rsid w:val="000E069B"/>
    <w:rsid w:val="000E0E82"/>
    <w:rsid w:val="000E1DC5"/>
    <w:rsid w:val="000E1F53"/>
    <w:rsid w:val="000E223F"/>
    <w:rsid w:val="000E7D45"/>
    <w:rsid w:val="000F7851"/>
    <w:rsid w:val="00104E23"/>
    <w:rsid w:val="00104FA9"/>
    <w:rsid w:val="00111B0C"/>
    <w:rsid w:val="00120D6C"/>
    <w:rsid w:val="001234C1"/>
    <w:rsid w:val="00123AE6"/>
    <w:rsid w:val="001257EC"/>
    <w:rsid w:val="00125FCB"/>
    <w:rsid w:val="001305BD"/>
    <w:rsid w:val="00133D33"/>
    <w:rsid w:val="00134D64"/>
    <w:rsid w:val="00135A30"/>
    <w:rsid w:val="0013612C"/>
    <w:rsid w:val="00137FF6"/>
    <w:rsid w:val="00141650"/>
    <w:rsid w:val="00162A12"/>
    <w:rsid w:val="00163ACB"/>
    <w:rsid w:val="00166530"/>
    <w:rsid w:val="001679DE"/>
    <w:rsid w:val="00182EA7"/>
    <w:rsid w:val="001832BD"/>
    <w:rsid w:val="0018635A"/>
    <w:rsid w:val="001943B5"/>
    <w:rsid w:val="00195134"/>
    <w:rsid w:val="00196000"/>
    <w:rsid w:val="00197485"/>
    <w:rsid w:val="001A145B"/>
    <w:rsid w:val="001A3883"/>
    <w:rsid w:val="001A3ED5"/>
    <w:rsid w:val="001A674C"/>
    <w:rsid w:val="001B3B24"/>
    <w:rsid w:val="001B6361"/>
    <w:rsid w:val="001C0F98"/>
    <w:rsid w:val="001C2A42"/>
    <w:rsid w:val="001C5C7D"/>
    <w:rsid w:val="001C75C0"/>
    <w:rsid w:val="001D63ED"/>
    <w:rsid w:val="001D7348"/>
    <w:rsid w:val="001E035B"/>
    <w:rsid w:val="001E0961"/>
    <w:rsid w:val="001E3EAE"/>
    <w:rsid w:val="001E4663"/>
    <w:rsid w:val="001E5B7D"/>
    <w:rsid w:val="001E6F32"/>
    <w:rsid w:val="001F2145"/>
    <w:rsid w:val="001F2C5F"/>
    <w:rsid w:val="001F6262"/>
    <w:rsid w:val="001F67B0"/>
    <w:rsid w:val="001F7B3D"/>
    <w:rsid w:val="00205F9F"/>
    <w:rsid w:val="00210338"/>
    <w:rsid w:val="002115FC"/>
    <w:rsid w:val="0021423C"/>
    <w:rsid w:val="002179A8"/>
    <w:rsid w:val="002203BB"/>
    <w:rsid w:val="002214B2"/>
    <w:rsid w:val="00230D00"/>
    <w:rsid w:val="00231DF7"/>
    <w:rsid w:val="00231FD1"/>
    <w:rsid w:val="002339E0"/>
    <w:rsid w:val="00233CF8"/>
    <w:rsid w:val="00234EC8"/>
    <w:rsid w:val="0023575D"/>
    <w:rsid w:val="00237148"/>
    <w:rsid w:val="00237376"/>
    <w:rsid w:val="00237E07"/>
    <w:rsid w:val="00241FFD"/>
    <w:rsid w:val="0024222D"/>
    <w:rsid w:val="00244B0E"/>
    <w:rsid w:val="00244F6C"/>
    <w:rsid w:val="002532C5"/>
    <w:rsid w:val="00253BD3"/>
    <w:rsid w:val="00253EA0"/>
    <w:rsid w:val="00257502"/>
    <w:rsid w:val="00260C03"/>
    <w:rsid w:val="00264B88"/>
    <w:rsid w:val="0026540E"/>
    <w:rsid w:val="002725F6"/>
    <w:rsid w:val="00273D55"/>
    <w:rsid w:val="00275123"/>
    <w:rsid w:val="00275A76"/>
    <w:rsid w:val="00282240"/>
    <w:rsid w:val="002948AD"/>
    <w:rsid w:val="002A01CC"/>
    <w:rsid w:val="002A61B1"/>
    <w:rsid w:val="002A663C"/>
    <w:rsid w:val="002B0B58"/>
    <w:rsid w:val="002B444B"/>
    <w:rsid w:val="002B5887"/>
    <w:rsid w:val="002C0E27"/>
    <w:rsid w:val="002C11B0"/>
    <w:rsid w:val="002C3040"/>
    <w:rsid w:val="002C3472"/>
    <w:rsid w:val="002D022D"/>
    <w:rsid w:val="002D24BB"/>
    <w:rsid w:val="002D4C8A"/>
    <w:rsid w:val="002F2AF7"/>
    <w:rsid w:val="002F3439"/>
    <w:rsid w:val="002F490C"/>
    <w:rsid w:val="002F53C9"/>
    <w:rsid w:val="002F7E1C"/>
    <w:rsid w:val="00301A75"/>
    <w:rsid w:val="00302F70"/>
    <w:rsid w:val="0030336F"/>
    <w:rsid w:val="0030375E"/>
    <w:rsid w:val="0030704F"/>
    <w:rsid w:val="00312A30"/>
    <w:rsid w:val="00315CD5"/>
    <w:rsid w:val="00320F72"/>
    <w:rsid w:val="0032463E"/>
    <w:rsid w:val="00326224"/>
    <w:rsid w:val="00332CD2"/>
    <w:rsid w:val="00337C22"/>
    <w:rsid w:val="00337EE4"/>
    <w:rsid w:val="00340FFD"/>
    <w:rsid w:val="00344518"/>
    <w:rsid w:val="00346061"/>
    <w:rsid w:val="003506B1"/>
    <w:rsid w:val="00350EE2"/>
    <w:rsid w:val="00351D9F"/>
    <w:rsid w:val="00352389"/>
    <w:rsid w:val="00356AC7"/>
    <w:rsid w:val="003605DF"/>
    <w:rsid w:val="003609FA"/>
    <w:rsid w:val="00360A53"/>
    <w:rsid w:val="00365D19"/>
    <w:rsid w:val="003710C8"/>
    <w:rsid w:val="003750BE"/>
    <w:rsid w:val="003824DA"/>
    <w:rsid w:val="00387B9D"/>
    <w:rsid w:val="0039364F"/>
    <w:rsid w:val="00394DA5"/>
    <w:rsid w:val="00396686"/>
    <w:rsid w:val="0039778E"/>
    <w:rsid w:val="003A26FF"/>
    <w:rsid w:val="003A3308"/>
    <w:rsid w:val="003B3116"/>
    <w:rsid w:val="003B4941"/>
    <w:rsid w:val="003C0656"/>
    <w:rsid w:val="003C4B86"/>
    <w:rsid w:val="003C5714"/>
    <w:rsid w:val="003C6B9F"/>
    <w:rsid w:val="003C6E2A"/>
    <w:rsid w:val="003D0299"/>
    <w:rsid w:val="003D479A"/>
    <w:rsid w:val="003D5EC7"/>
    <w:rsid w:val="003D5F1D"/>
    <w:rsid w:val="003E0607"/>
    <w:rsid w:val="003E3C2F"/>
    <w:rsid w:val="003E6D80"/>
    <w:rsid w:val="003F05FA"/>
    <w:rsid w:val="003F244A"/>
    <w:rsid w:val="003F2B36"/>
    <w:rsid w:val="003F2FC4"/>
    <w:rsid w:val="003F30B8"/>
    <w:rsid w:val="003F42E9"/>
    <w:rsid w:val="003F4C45"/>
    <w:rsid w:val="003F5F7B"/>
    <w:rsid w:val="003F7D64"/>
    <w:rsid w:val="00414300"/>
    <w:rsid w:val="004145F2"/>
    <w:rsid w:val="004216CD"/>
    <w:rsid w:val="00425C67"/>
    <w:rsid w:val="00427E7A"/>
    <w:rsid w:val="00436C49"/>
    <w:rsid w:val="00445366"/>
    <w:rsid w:val="00447F5B"/>
    <w:rsid w:val="0045155D"/>
    <w:rsid w:val="004537AB"/>
    <w:rsid w:val="00454042"/>
    <w:rsid w:val="0045650B"/>
    <w:rsid w:val="004568B9"/>
    <w:rsid w:val="00457F41"/>
    <w:rsid w:val="00461DB0"/>
    <w:rsid w:val="00463926"/>
    <w:rsid w:val="00464C9A"/>
    <w:rsid w:val="00472C79"/>
    <w:rsid w:val="00474F3D"/>
    <w:rsid w:val="004760AE"/>
    <w:rsid w:val="00476986"/>
    <w:rsid w:val="00477E3A"/>
    <w:rsid w:val="00483E5F"/>
    <w:rsid w:val="00485FF9"/>
    <w:rsid w:val="004907F0"/>
    <w:rsid w:val="0049140B"/>
    <w:rsid w:val="004923A5"/>
    <w:rsid w:val="0049533C"/>
    <w:rsid w:val="00496BFB"/>
    <w:rsid w:val="004A15C7"/>
    <w:rsid w:val="004A3C41"/>
    <w:rsid w:val="004A6A9B"/>
    <w:rsid w:val="004B013B"/>
    <w:rsid w:val="004B0194"/>
    <w:rsid w:val="004B112B"/>
    <w:rsid w:val="004B1898"/>
    <w:rsid w:val="004B3285"/>
    <w:rsid w:val="004B3A70"/>
    <w:rsid w:val="004B47B3"/>
    <w:rsid w:val="004C01E4"/>
    <w:rsid w:val="004C086C"/>
    <w:rsid w:val="004C1F56"/>
    <w:rsid w:val="004C27BC"/>
    <w:rsid w:val="004D15F3"/>
    <w:rsid w:val="004D5311"/>
    <w:rsid w:val="004D5DCC"/>
    <w:rsid w:val="004F10AF"/>
    <w:rsid w:val="004F11A4"/>
    <w:rsid w:val="004F1DB2"/>
    <w:rsid w:val="004F2389"/>
    <w:rsid w:val="004F304D"/>
    <w:rsid w:val="004F61BE"/>
    <w:rsid w:val="004F66B1"/>
    <w:rsid w:val="00506C19"/>
    <w:rsid w:val="00511C07"/>
    <w:rsid w:val="005173A6"/>
    <w:rsid w:val="00520BAA"/>
    <w:rsid w:val="00523365"/>
    <w:rsid w:val="00525208"/>
    <w:rsid w:val="005257A5"/>
    <w:rsid w:val="005264C0"/>
    <w:rsid w:val="00526A8A"/>
    <w:rsid w:val="00527FF8"/>
    <w:rsid w:val="0053141F"/>
    <w:rsid w:val="00531DF2"/>
    <w:rsid w:val="00536AC9"/>
    <w:rsid w:val="005442EE"/>
    <w:rsid w:val="00547353"/>
    <w:rsid w:val="005474E7"/>
    <w:rsid w:val="005512A3"/>
    <w:rsid w:val="005547F5"/>
    <w:rsid w:val="005555FC"/>
    <w:rsid w:val="00556A04"/>
    <w:rsid w:val="005578CE"/>
    <w:rsid w:val="00562653"/>
    <w:rsid w:val="00562781"/>
    <w:rsid w:val="0056384F"/>
    <w:rsid w:val="00563D75"/>
    <w:rsid w:val="0057271C"/>
    <w:rsid w:val="00572845"/>
    <w:rsid w:val="0057295A"/>
    <w:rsid w:val="00573BDA"/>
    <w:rsid w:val="0058329F"/>
    <w:rsid w:val="005869E5"/>
    <w:rsid w:val="00592772"/>
    <w:rsid w:val="0059574A"/>
    <w:rsid w:val="005A1B9B"/>
    <w:rsid w:val="005A1F59"/>
    <w:rsid w:val="005A6751"/>
    <w:rsid w:val="005B092E"/>
    <w:rsid w:val="005B152C"/>
    <w:rsid w:val="005B1EE0"/>
    <w:rsid w:val="005B2B24"/>
    <w:rsid w:val="005B4425"/>
    <w:rsid w:val="005B4B94"/>
    <w:rsid w:val="005C36D1"/>
    <w:rsid w:val="005C3EE8"/>
    <w:rsid w:val="005C4767"/>
    <w:rsid w:val="005C5865"/>
    <w:rsid w:val="005D0D36"/>
    <w:rsid w:val="005D34F9"/>
    <w:rsid w:val="005D4190"/>
    <w:rsid w:val="005D67A3"/>
    <w:rsid w:val="005E0B45"/>
    <w:rsid w:val="005E2988"/>
    <w:rsid w:val="005E3085"/>
    <w:rsid w:val="005E7D09"/>
    <w:rsid w:val="005F51E1"/>
    <w:rsid w:val="00600674"/>
    <w:rsid w:val="00600C6D"/>
    <w:rsid w:val="0060453A"/>
    <w:rsid w:val="00611C80"/>
    <w:rsid w:val="00616B3E"/>
    <w:rsid w:val="00617F74"/>
    <w:rsid w:val="00620692"/>
    <w:rsid w:val="00623492"/>
    <w:rsid w:val="006242CA"/>
    <w:rsid w:val="00627507"/>
    <w:rsid w:val="00633717"/>
    <w:rsid w:val="006344E1"/>
    <w:rsid w:val="00642401"/>
    <w:rsid w:val="006427A2"/>
    <w:rsid w:val="00646C9A"/>
    <w:rsid w:val="006511DF"/>
    <w:rsid w:val="00653725"/>
    <w:rsid w:val="006545C4"/>
    <w:rsid w:val="00654B8A"/>
    <w:rsid w:val="00661971"/>
    <w:rsid w:val="00661CE8"/>
    <w:rsid w:val="006623D9"/>
    <w:rsid w:val="0066550C"/>
    <w:rsid w:val="00670498"/>
    <w:rsid w:val="006716F2"/>
    <w:rsid w:val="00675761"/>
    <w:rsid w:val="00675EC7"/>
    <w:rsid w:val="00680164"/>
    <w:rsid w:val="00682BF2"/>
    <w:rsid w:val="006853F1"/>
    <w:rsid w:val="006859CE"/>
    <w:rsid w:val="00691270"/>
    <w:rsid w:val="00694553"/>
    <w:rsid w:val="00694BA8"/>
    <w:rsid w:val="006A037C"/>
    <w:rsid w:val="006A1E45"/>
    <w:rsid w:val="006A27E7"/>
    <w:rsid w:val="006A36F4"/>
    <w:rsid w:val="006A406F"/>
    <w:rsid w:val="006A5D3A"/>
    <w:rsid w:val="006B24CD"/>
    <w:rsid w:val="006C14B9"/>
    <w:rsid w:val="006C23D4"/>
    <w:rsid w:val="006C3D0B"/>
    <w:rsid w:val="006C7BB0"/>
    <w:rsid w:val="006D3237"/>
    <w:rsid w:val="006E2E37"/>
    <w:rsid w:val="006E3CF1"/>
    <w:rsid w:val="006E7E80"/>
    <w:rsid w:val="006F48CA"/>
    <w:rsid w:val="006F64DD"/>
    <w:rsid w:val="00702DB9"/>
    <w:rsid w:val="00710C2C"/>
    <w:rsid w:val="0071109E"/>
    <w:rsid w:val="00715127"/>
    <w:rsid w:val="00715BAB"/>
    <w:rsid w:val="00715E8E"/>
    <w:rsid w:val="0071695F"/>
    <w:rsid w:val="00723580"/>
    <w:rsid w:val="00723755"/>
    <w:rsid w:val="007246C2"/>
    <w:rsid w:val="00725FE1"/>
    <w:rsid w:val="00726E78"/>
    <w:rsid w:val="0073136C"/>
    <w:rsid w:val="00731F0F"/>
    <w:rsid w:val="00733250"/>
    <w:rsid w:val="00733688"/>
    <w:rsid w:val="00736F05"/>
    <w:rsid w:val="00741404"/>
    <w:rsid w:val="007449E5"/>
    <w:rsid w:val="007476D7"/>
    <w:rsid w:val="00747FF0"/>
    <w:rsid w:val="00764D4E"/>
    <w:rsid w:val="00764F75"/>
    <w:rsid w:val="00765A1F"/>
    <w:rsid w:val="00772009"/>
    <w:rsid w:val="00775B6D"/>
    <w:rsid w:val="00776D68"/>
    <w:rsid w:val="007773FC"/>
    <w:rsid w:val="007850EE"/>
    <w:rsid w:val="00785B95"/>
    <w:rsid w:val="00787C70"/>
    <w:rsid w:val="00790E96"/>
    <w:rsid w:val="00793366"/>
    <w:rsid w:val="007A716F"/>
    <w:rsid w:val="007B270A"/>
    <w:rsid w:val="007B4AC4"/>
    <w:rsid w:val="007C0695"/>
    <w:rsid w:val="007C419A"/>
    <w:rsid w:val="007C4CC8"/>
    <w:rsid w:val="007C5426"/>
    <w:rsid w:val="007C5798"/>
    <w:rsid w:val="007D4832"/>
    <w:rsid w:val="007E21B2"/>
    <w:rsid w:val="007E2C4E"/>
    <w:rsid w:val="007E384F"/>
    <w:rsid w:val="007E6FDD"/>
    <w:rsid w:val="007F1905"/>
    <w:rsid w:val="007F3534"/>
    <w:rsid w:val="007F650A"/>
    <w:rsid w:val="00801300"/>
    <w:rsid w:val="00801A78"/>
    <w:rsid w:val="00802C64"/>
    <w:rsid w:val="00805E52"/>
    <w:rsid w:val="008061D0"/>
    <w:rsid w:val="00810B38"/>
    <w:rsid w:val="00812C00"/>
    <w:rsid w:val="00817150"/>
    <w:rsid w:val="008204C7"/>
    <w:rsid w:val="00820992"/>
    <w:rsid w:val="00823602"/>
    <w:rsid w:val="008255F5"/>
    <w:rsid w:val="00826E55"/>
    <w:rsid w:val="0083014E"/>
    <w:rsid w:val="0083170F"/>
    <w:rsid w:val="0083214A"/>
    <w:rsid w:val="00834220"/>
    <w:rsid w:val="00835B5F"/>
    <w:rsid w:val="00837CC3"/>
    <w:rsid w:val="00845723"/>
    <w:rsid w:val="00851EF9"/>
    <w:rsid w:val="00852AE8"/>
    <w:rsid w:val="008577FD"/>
    <w:rsid w:val="00860B03"/>
    <w:rsid w:val="0086135D"/>
    <w:rsid w:val="008647B1"/>
    <w:rsid w:val="0086497A"/>
    <w:rsid w:val="00870CDC"/>
    <w:rsid w:val="008713A1"/>
    <w:rsid w:val="008754AB"/>
    <w:rsid w:val="0088060C"/>
    <w:rsid w:val="008818BB"/>
    <w:rsid w:val="00882D17"/>
    <w:rsid w:val="00892DCA"/>
    <w:rsid w:val="00893576"/>
    <w:rsid w:val="00893E73"/>
    <w:rsid w:val="00893FBC"/>
    <w:rsid w:val="00894C94"/>
    <w:rsid w:val="008A2AEA"/>
    <w:rsid w:val="008B02DC"/>
    <w:rsid w:val="008B36A0"/>
    <w:rsid w:val="008B57CE"/>
    <w:rsid w:val="008C26DE"/>
    <w:rsid w:val="008D0468"/>
    <w:rsid w:val="008D07DC"/>
    <w:rsid w:val="008D2225"/>
    <w:rsid w:val="008D4752"/>
    <w:rsid w:val="008E271C"/>
    <w:rsid w:val="008E418E"/>
    <w:rsid w:val="008E5775"/>
    <w:rsid w:val="008E5BC6"/>
    <w:rsid w:val="008E6A25"/>
    <w:rsid w:val="008F5193"/>
    <w:rsid w:val="009013A7"/>
    <w:rsid w:val="009017FB"/>
    <w:rsid w:val="009017FC"/>
    <w:rsid w:val="00902CF4"/>
    <w:rsid w:val="0090506B"/>
    <w:rsid w:val="009050C9"/>
    <w:rsid w:val="009066FC"/>
    <w:rsid w:val="009140A3"/>
    <w:rsid w:val="009144A2"/>
    <w:rsid w:val="0091510C"/>
    <w:rsid w:val="00920445"/>
    <w:rsid w:val="009259AC"/>
    <w:rsid w:val="00925F7D"/>
    <w:rsid w:val="00926F38"/>
    <w:rsid w:val="00927822"/>
    <w:rsid w:val="00930B64"/>
    <w:rsid w:val="00934301"/>
    <w:rsid w:val="00935A57"/>
    <w:rsid w:val="00936CD1"/>
    <w:rsid w:val="00937A6E"/>
    <w:rsid w:val="00941747"/>
    <w:rsid w:val="00941EFB"/>
    <w:rsid w:val="00947062"/>
    <w:rsid w:val="00947AFB"/>
    <w:rsid w:val="00951D7D"/>
    <w:rsid w:val="009607CD"/>
    <w:rsid w:val="009630C7"/>
    <w:rsid w:val="00963E09"/>
    <w:rsid w:val="00970147"/>
    <w:rsid w:val="00972B55"/>
    <w:rsid w:val="009743B7"/>
    <w:rsid w:val="00976569"/>
    <w:rsid w:val="0098228B"/>
    <w:rsid w:val="009828DA"/>
    <w:rsid w:val="00985BAB"/>
    <w:rsid w:val="009901C3"/>
    <w:rsid w:val="00996A6A"/>
    <w:rsid w:val="009974F7"/>
    <w:rsid w:val="009A2754"/>
    <w:rsid w:val="009A441A"/>
    <w:rsid w:val="009B1B5F"/>
    <w:rsid w:val="009B6673"/>
    <w:rsid w:val="009C191B"/>
    <w:rsid w:val="009C2BD6"/>
    <w:rsid w:val="009E1F32"/>
    <w:rsid w:val="009E286D"/>
    <w:rsid w:val="009E776C"/>
    <w:rsid w:val="009E7C6E"/>
    <w:rsid w:val="009F274C"/>
    <w:rsid w:val="00A106F8"/>
    <w:rsid w:val="00A1169F"/>
    <w:rsid w:val="00A1726E"/>
    <w:rsid w:val="00A204CF"/>
    <w:rsid w:val="00A218C1"/>
    <w:rsid w:val="00A23D49"/>
    <w:rsid w:val="00A27004"/>
    <w:rsid w:val="00A30C29"/>
    <w:rsid w:val="00A33228"/>
    <w:rsid w:val="00A346CD"/>
    <w:rsid w:val="00A34DD6"/>
    <w:rsid w:val="00A36819"/>
    <w:rsid w:val="00A36989"/>
    <w:rsid w:val="00A41BC8"/>
    <w:rsid w:val="00A43628"/>
    <w:rsid w:val="00A4581E"/>
    <w:rsid w:val="00A469CA"/>
    <w:rsid w:val="00A47501"/>
    <w:rsid w:val="00A54192"/>
    <w:rsid w:val="00A6035E"/>
    <w:rsid w:val="00A6144C"/>
    <w:rsid w:val="00A66617"/>
    <w:rsid w:val="00A671F8"/>
    <w:rsid w:val="00A673A4"/>
    <w:rsid w:val="00A715F9"/>
    <w:rsid w:val="00A71776"/>
    <w:rsid w:val="00A724AE"/>
    <w:rsid w:val="00A73329"/>
    <w:rsid w:val="00A80A66"/>
    <w:rsid w:val="00A81190"/>
    <w:rsid w:val="00A82359"/>
    <w:rsid w:val="00A865D2"/>
    <w:rsid w:val="00A86B69"/>
    <w:rsid w:val="00A900E2"/>
    <w:rsid w:val="00A94C20"/>
    <w:rsid w:val="00A95AE7"/>
    <w:rsid w:val="00A95BC0"/>
    <w:rsid w:val="00AA227F"/>
    <w:rsid w:val="00AA3BC7"/>
    <w:rsid w:val="00AA754A"/>
    <w:rsid w:val="00AA7DED"/>
    <w:rsid w:val="00AB099E"/>
    <w:rsid w:val="00AB0B9F"/>
    <w:rsid w:val="00AB201B"/>
    <w:rsid w:val="00AB4328"/>
    <w:rsid w:val="00AC2C06"/>
    <w:rsid w:val="00AC4942"/>
    <w:rsid w:val="00AD31D2"/>
    <w:rsid w:val="00AE0A2E"/>
    <w:rsid w:val="00AE1105"/>
    <w:rsid w:val="00AE354C"/>
    <w:rsid w:val="00AF1903"/>
    <w:rsid w:val="00AF27BC"/>
    <w:rsid w:val="00AF4B07"/>
    <w:rsid w:val="00AF6186"/>
    <w:rsid w:val="00AF7A3A"/>
    <w:rsid w:val="00B02E40"/>
    <w:rsid w:val="00B10F46"/>
    <w:rsid w:val="00B1268F"/>
    <w:rsid w:val="00B160DB"/>
    <w:rsid w:val="00B1718D"/>
    <w:rsid w:val="00B20836"/>
    <w:rsid w:val="00B235BB"/>
    <w:rsid w:val="00B26914"/>
    <w:rsid w:val="00B27408"/>
    <w:rsid w:val="00B27A44"/>
    <w:rsid w:val="00B30BBF"/>
    <w:rsid w:val="00B33C03"/>
    <w:rsid w:val="00B34BD7"/>
    <w:rsid w:val="00B41DB8"/>
    <w:rsid w:val="00B44856"/>
    <w:rsid w:val="00B44E56"/>
    <w:rsid w:val="00B46543"/>
    <w:rsid w:val="00B46E0D"/>
    <w:rsid w:val="00B47D33"/>
    <w:rsid w:val="00B52BE0"/>
    <w:rsid w:val="00B54133"/>
    <w:rsid w:val="00B54212"/>
    <w:rsid w:val="00B55F0E"/>
    <w:rsid w:val="00B57CA8"/>
    <w:rsid w:val="00B701ED"/>
    <w:rsid w:val="00B8086C"/>
    <w:rsid w:val="00B8256F"/>
    <w:rsid w:val="00B827B2"/>
    <w:rsid w:val="00B84014"/>
    <w:rsid w:val="00B861B4"/>
    <w:rsid w:val="00B86DFE"/>
    <w:rsid w:val="00B90990"/>
    <w:rsid w:val="00B909A1"/>
    <w:rsid w:val="00B922FF"/>
    <w:rsid w:val="00B9281E"/>
    <w:rsid w:val="00B93925"/>
    <w:rsid w:val="00B95187"/>
    <w:rsid w:val="00B956B5"/>
    <w:rsid w:val="00BA2D55"/>
    <w:rsid w:val="00BA694A"/>
    <w:rsid w:val="00BA71B1"/>
    <w:rsid w:val="00BB0125"/>
    <w:rsid w:val="00BB0637"/>
    <w:rsid w:val="00BB3297"/>
    <w:rsid w:val="00BB345F"/>
    <w:rsid w:val="00BB36CA"/>
    <w:rsid w:val="00BB4B9E"/>
    <w:rsid w:val="00BB68EA"/>
    <w:rsid w:val="00BC1C27"/>
    <w:rsid w:val="00BC6BBF"/>
    <w:rsid w:val="00BD0BAA"/>
    <w:rsid w:val="00BD1572"/>
    <w:rsid w:val="00BD611D"/>
    <w:rsid w:val="00BE14E3"/>
    <w:rsid w:val="00BE3774"/>
    <w:rsid w:val="00BE41E5"/>
    <w:rsid w:val="00BF4109"/>
    <w:rsid w:val="00BF4CC3"/>
    <w:rsid w:val="00BF5A62"/>
    <w:rsid w:val="00C031E7"/>
    <w:rsid w:val="00C03FF6"/>
    <w:rsid w:val="00C054C7"/>
    <w:rsid w:val="00C057B5"/>
    <w:rsid w:val="00C12358"/>
    <w:rsid w:val="00C1381E"/>
    <w:rsid w:val="00C22687"/>
    <w:rsid w:val="00C23526"/>
    <w:rsid w:val="00C32E4D"/>
    <w:rsid w:val="00C333A0"/>
    <w:rsid w:val="00C33B3E"/>
    <w:rsid w:val="00C36408"/>
    <w:rsid w:val="00C36A81"/>
    <w:rsid w:val="00C41974"/>
    <w:rsid w:val="00C53F4A"/>
    <w:rsid w:val="00C54125"/>
    <w:rsid w:val="00C55B54"/>
    <w:rsid w:val="00C6098E"/>
    <w:rsid w:val="00C6152C"/>
    <w:rsid w:val="00C74810"/>
    <w:rsid w:val="00C76A4F"/>
    <w:rsid w:val="00C87295"/>
    <w:rsid w:val="00C90D68"/>
    <w:rsid w:val="00C932D2"/>
    <w:rsid w:val="00C939FE"/>
    <w:rsid w:val="00CA1E8F"/>
    <w:rsid w:val="00CA341A"/>
    <w:rsid w:val="00CA38EB"/>
    <w:rsid w:val="00CA4BDA"/>
    <w:rsid w:val="00CB06C2"/>
    <w:rsid w:val="00CB1F66"/>
    <w:rsid w:val="00CB2951"/>
    <w:rsid w:val="00CB2A25"/>
    <w:rsid w:val="00CB330A"/>
    <w:rsid w:val="00CC00B1"/>
    <w:rsid w:val="00CD282B"/>
    <w:rsid w:val="00CD4C35"/>
    <w:rsid w:val="00CD5169"/>
    <w:rsid w:val="00CD7369"/>
    <w:rsid w:val="00CE0B0E"/>
    <w:rsid w:val="00CE27E0"/>
    <w:rsid w:val="00CE37C9"/>
    <w:rsid w:val="00CE3831"/>
    <w:rsid w:val="00CF22A9"/>
    <w:rsid w:val="00CF3960"/>
    <w:rsid w:val="00CF70B0"/>
    <w:rsid w:val="00D00ABB"/>
    <w:rsid w:val="00D02EEC"/>
    <w:rsid w:val="00D03551"/>
    <w:rsid w:val="00D042F8"/>
    <w:rsid w:val="00D0569D"/>
    <w:rsid w:val="00D06A63"/>
    <w:rsid w:val="00D07E0E"/>
    <w:rsid w:val="00D11478"/>
    <w:rsid w:val="00D12424"/>
    <w:rsid w:val="00D15ED0"/>
    <w:rsid w:val="00D21833"/>
    <w:rsid w:val="00D21B3E"/>
    <w:rsid w:val="00D21FED"/>
    <w:rsid w:val="00D227FB"/>
    <w:rsid w:val="00D24251"/>
    <w:rsid w:val="00D26B64"/>
    <w:rsid w:val="00D343E2"/>
    <w:rsid w:val="00D361A2"/>
    <w:rsid w:val="00D37FBF"/>
    <w:rsid w:val="00D44C2E"/>
    <w:rsid w:val="00D45414"/>
    <w:rsid w:val="00D50C36"/>
    <w:rsid w:val="00D51911"/>
    <w:rsid w:val="00D52370"/>
    <w:rsid w:val="00D526DB"/>
    <w:rsid w:val="00D53055"/>
    <w:rsid w:val="00D54381"/>
    <w:rsid w:val="00D566BD"/>
    <w:rsid w:val="00D57A4D"/>
    <w:rsid w:val="00D60AA7"/>
    <w:rsid w:val="00D6435F"/>
    <w:rsid w:val="00D6653D"/>
    <w:rsid w:val="00D70283"/>
    <w:rsid w:val="00D75D76"/>
    <w:rsid w:val="00D75E28"/>
    <w:rsid w:val="00D772C2"/>
    <w:rsid w:val="00D7758F"/>
    <w:rsid w:val="00D8008E"/>
    <w:rsid w:val="00D82C45"/>
    <w:rsid w:val="00D85FB1"/>
    <w:rsid w:val="00D908A8"/>
    <w:rsid w:val="00D96E4F"/>
    <w:rsid w:val="00D977B6"/>
    <w:rsid w:val="00DA4A31"/>
    <w:rsid w:val="00DA7B04"/>
    <w:rsid w:val="00DB36C2"/>
    <w:rsid w:val="00DB6992"/>
    <w:rsid w:val="00DC169B"/>
    <w:rsid w:val="00DC2AB9"/>
    <w:rsid w:val="00DC4E20"/>
    <w:rsid w:val="00DC63F0"/>
    <w:rsid w:val="00DD6EE5"/>
    <w:rsid w:val="00DD7A5C"/>
    <w:rsid w:val="00DE0D8D"/>
    <w:rsid w:val="00DE386C"/>
    <w:rsid w:val="00DE4D35"/>
    <w:rsid w:val="00DE5C8B"/>
    <w:rsid w:val="00DF098B"/>
    <w:rsid w:val="00DF11C4"/>
    <w:rsid w:val="00DF210C"/>
    <w:rsid w:val="00DF4B6A"/>
    <w:rsid w:val="00E027C2"/>
    <w:rsid w:val="00E02C09"/>
    <w:rsid w:val="00E04D59"/>
    <w:rsid w:val="00E05B1F"/>
    <w:rsid w:val="00E06EA7"/>
    <w:rsid w:val="00E07DA1"/>
    <w:rsid w:val="00E123CB"/>
    <w:rsid w:val="00E1538B"/>
    <w:rsid w:val="00E15B05"/>
    <w:rsid w:val="00E20E13"/>
    <w:rsid w:val="00E21DBC"/>
    <w:rsid w:val="00E23AB5"/>
    <w:rsid w:val="00E275D7"/>
    <w:rsid w:val="00E27DBE"/>
    <w:rsid w:val="00E30951"/>
    <w:rsid w:val="00E31458"/>
    <w:rsid w:val="00E32AB1"/>
    <w:rsid w:val="00E36C71"/>
    <w:rsid w:val="00E40404"/>
    <w:rsid w:val="00E41277"/>
    <w:rsid w:val="00E459C6"/>
    <w:rsid w:val="00E4690D"/>
    <w:rsid w:val="00E47589"/>
    <w:rsid w:val="00E513F4"/>
    <w:rsid w:val="00E6259B"/>
    <w:rsid w:val="00E64915"/>
    <w:rsid w:val="00E661D4"/>
    <w:rsid w:val="00E66B1F"/>
    <w:rsid w:val="00E67D17"/>
    <w:rsid w:val="00E70091"/>
    <w:rsid w:val="00E720F5"/>
    <w:rsid w:val="00E76AF2"/>
    <w:rsid w:val="00E76AF3"/>
    <w:rsid w:val="00E76D47"/>
    <w:rsid w:val="00E849F7"/>
    <w:rsid w:val="00E90302"/>
    <w:rsid w:val="00E97396"/>
    <w:rsid w:val="00EA185E"/>
    <w:rsid w:val="00EA592A"/>
    <w:rsid w:val="00EB14E4"/>
    <w:rsid w:val="00EB32A5"/>
    <w:rsid w:val="00EB34ED"/>
    <w:rsid w:val="00EB7BE0"/>
    <w:rsid w:val="00EC315E"/>
    <w:rsid w:val="00ED077C"/>
    <w:rsid w:val="00ED1190"/>
    <w:rsid w:val="00ED1B22"/>
    <w:rsid w:val="00ED63E9"/>
    <w:rsid w:val="00ED6544"/>
    <w:rsid w:val="00EE0277"/>
    <w:rsid w:val="00EE24E0"/>
    <w:rsid w:val="00EE3D89"/>
    <w:rsid w:val="00EE3E00"/>
    <w:rsid w:val="00EE5DD2"/>
    <w:rsid w:val="00EE7CF9"/>
    <w:rsid w:val="00EF59D9"/>
    <w:rsid w:val="00F00A79"/>
    <w:rsid w:val="00F00E86"/>
    <w:rsid w:val="00F0159E"/>
    <w:rsid w:val="00F03C8D"/>
    <w:rsid w:val="00F07C1E"/>
    <w:rsid w:val="00F105DB"/>
    <w:rsid w:val="00F132BC"/>
    <w:rsid w:val="00F13D80"/>
    <w:rsid w:val="00F16AAA"/>
    <w:rsid w:val="00F20827"/>
    <w:rsid w:val="00F21161"/>
    <w:rsid w:val="00F218EF"/>
    <w:rsid w:val="00F21BC7"/>
    <w:rsid w:val="00F231ED"/>
    <w:rsid w:val="00F264A9"/>
    <w:rsid w:val="00F266A2"/>
    <w:rsid w:val="00F32269"/>
    <w:rsid w:val="00F40FBE"/>
    <w:rsid w:val="00F4782C"/>
    <w:rsid w:val="00F56A6F"/>
    <w:rsid w:val="00F5709C"/>
    <w:rsid w:val="00F64306"/>
    <w:rsid w:val="00F64EF1"/>
    <w:rsid w:val="00F65626"/>
    <w:rsid w:val="00F80F6A"/>
    <w:rsid w:val="00F81DDE"/>
    <w:rsid w:val="00F84635"/>
    <w:rsid w:val="00F8765F"/>
    <w:rsid w:val="00F90767"/>
    <w:rsid w:val="00F93419"/>
    <w:rsid w:val="00F9533B"/>
    <w:rsid w:val="00FA1124"/>
    <w:rsid w:val="00FA16F6"/>
    <w:rsid w:val="00FA391D"/>
    <w:rsid w:val="00FA5BBC"/>
    <w:rsid w:val="00FA685B"/>
    <w:rsid w:val="00FB0C01"/>
    <w:rsid w:val="00FB3DE6"/>
    <w:rsid w:val="00FB6942"/>
    <w:rsid w:val="00FC18F2"/>
    <w:rsid w:val="00FC1DEA"/>
    <w:rsid w:val="00FC39E5"/>
    <w:rsid w:val="00FC3A78"/>
    <w:rsid w:val="00FD1005"/>
    <w:rsid w:val="00FD6C75"/>
    <w:rsid w:val="00FE5095"/>
    <w:rsid w:val="00FE5758"/>
    <w:rsid w:val="00FE6AB8"/>
    <w:rsid w:val="00FE71B3"/>
    <w:rsid w:val="00FF35C9"/>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A71776"/>
    <w:pPr>
      <w:jc w:val="both"/>
    </w:pPr>
    <w:rPr>
      <w:rFonts w:eastAsiaTheme="minorEastAsia"/>
      <w:sz w:val="24"/>
      <w:lang w:val="en-GB"/>
    </w:rPr>
  </w:style>
  <w:style w:type="paragraph" w:styleId="Titolo1">
    <w:name w:val="heading 1"/>
    <w:basedOn w:val="Normale"/>
    <w:next w:val="Normale"/>
    <w:link w:val="Titolo1Carattere"/>
    <w:uiPriority w:val="99"/>
    <w:semiHidden/>
    <w:rsid w:val="00A7177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7177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7177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7177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71776"/>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A7177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71776"/>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A71776"/>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A71776"/>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717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776"/>
    <w:rPr>
      <w:rFonts w:ascii="Tahoma" w:eastAsiaTheme="minorEastAsia" w:hAnsi="Tahoma" w:cs="Tahoma"/>
      <w:sz w:val="16"/>
      <w:szCs w:val="16"/>
      <w:lang w:val="en-GB"/>
    </w:rPr>
  </w:style>
  <w:style w:type="character" w:styleId="Titolodellibro">
    <w:name w:val="Book Title"/>
    <w:uiPriority w:val="99"/>
    <w:semiHidden/>
    <w:qFormat/>
    <w:rsid w:val="00A71776"/>
    <w:rPr>
      <w:i/>
      <w:iCs/>
      <w:smallCaps/>
      <w:spacing w:val="5"/>
    </w:rPr>
  </w:style>
  <w:style w:type="paragraph" w:customStyle="1" w:styleId="ECHRHeader">
    <w:name w:val="ECHR_Header"/>
    <w:aliases w:val="Ju_Header"/>
    <w:basedOn w:val="Intestazione"/>
    <w:uiPriority w:val="4"/>
    <w:qFormat/>
    <w:rsid w:val="00A7177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A71776"/>
    <w:pPr>
      <w:jc w:val="left"/>
    </w:pPr>
    <w:rPr>
      <w:sz w:val="8"/>
    </w:rPr>
  </w:style>
  <w:style w:type="character" w:styleId="Enfasigrassetto">
    <w:name w:val="Strong"/>
    <w:uiPriority w:val="99"/>
    <w:semiHidden/>
    <w:qFormat/>
    <w:rsid w:val="00A71776"/>
    <w:rPr>
      <w:b/>
      <w:bCs/>
    </w:rPr>
  </w:style>
  <w:style w:type="paragraph" w:styleId="Nessunaspaziatura">
    <w:name w:val="No Spacing"/>
    <w:basedOn w:val="Normale"/>
    <w:link w:val="NessunaspaziaturaCarattere"/>
    <w:semiHidden/>
    <w:qFormat/>
    <w:rsid w:val="00A71776"/>
    <w:rPr>
      <w:sz w:val="22"/>
      <w:lang w:val="en-US"/>
    </w:rPr>
  </w:style>
  <w:style w:type="character" w:customStyle="1" w:styleId="NessunaspaziaturaCarattere">
    <w:name w:val="Nessuna spaziatura Carattere"/>
    <w:basedOn w:val="Carpredefinitoparagrafo"/>
    <w:link w:val="Nessunaspaziatura"/>
    <w:semiHidden/>
    <w:rsid w:val="00A71776"/>
    <w:rPr>
      <w:rFonts w:eastAsiaTheme="minorEastAsia"/>
    </w:rPr>
  </w:style>
  <w:style w:type="paragraph" w:customStyle="1" w:styleId="ECHRFooterLine">
    <w:name w:val="ECHR_Footer_Line"/>
    <w:aliases w:val="Footer_Line"/>
    <w:basedOn w:val="Normale"/>
    <w:next w:val="ECHRFooter"/>
    <w:uiPriority w:val="57"/>
    <w:semiHidden/>
    <w:rsid w:val="00A7177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A71776"/>
  </w:style>
  <w:style w:type="paragraph" w:customStyle="1" w:styleId="DecList">
    <w:name w:val="Dec_List"/>
    <w:basedOn w:val="Normale"/>
    <w:uiPriority w:val="9"/>
    <w:semiHidden/>
    <w:qFormat/>
    <w:rsid w:val="00A71776"/>
    <w:pPr>
      <w:spacing w:before="240"/>
      <w:ind w:left="284"/>
    </w:pPr>
  </w:style>
  <w:style w:type="paragraph" w:customStyle="1" w:styleId="DummyStyle">
    <w:name w:val="Dummy_Style"/>
    <w:basedOn w:val="Normale"/>
    <w:semiHidden/>
    <w:qFormat/>
    <w:rsid w:val="00A71776"/>
    <w:rPr>
      <w:color w:val="00B050"/>
    </w:rPr>
  </w:style>
  <w:style w:type="paragraph" w:customStyle="1" w:styleId="ECHRTitleCentre3">
    <w:name w:val="ECHR_Title_Centre_3"/>
    <w:aliases w:val="Ju_H_Article"/>
    <w:basedOn w:val="Normale"/>
    <w:next w:val="ECHRParaQuote"/>
    <w:uiPriority w:val="27"/>
    <w:qFormat/>
    <w:rsid w:val="00A7177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A71776"/>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A71776"/>
    <w:pPr>
      <w:numPr>
        <w:numId w:val="26"/>
      </w:numPr>
      <w:jc w:val="left"/>
    </w:pPr>
    <w:rPr>
      <w:b/>
    </w:rPr>
  </w:style>
  <w:style w:type="paragraph" w:customStyle="1" w:styleId="JuCase">
    <w:name w:val="Ju_Case"/>
    <w:basedOn w:val="Normale"/>
    <w:next w:val="ECHRPara"/>
    <w:uiPriority w:val="10"/>
    <w:rsid w:val="00A71776"/>
    <w:pPr>
      <w:ind w:firstLine="284"/>
    </w:pPr>
    <w:rPr>
      <w:b/>
    </w:rPr>
  </w:style>
  <w:style w:type="paragraph" w:customStyle="1" w:styleId="JuCourt">
    <w:name w:val="Ju_Court"/>
    <w:basedOn w:val="Normale"/>
    <w:next w:val="Normale"/>
    <w:uiPriority w:val="16"/>
    <w:qFormat/>
    <w:rsid w:val="00A71776"/>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e"/>
    <w:next w:val="ECHRPara"/>
    <w:uiPriority w:val="8"/>
    <w:qFormat/>
    <w:rsid w:val="00A71776"/>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A71776"/>
    <w:pPr>
      <w:tabs>
        <w:tab w:val="clear" w:pos="3686"/>
        <w:tab w:val="clear" w:pos="7371"/>
        <w:tab w:val="center" w:pos="6146"/>
        <w:tab w:val="right" w:pos="12293"/>
      </w:tabs>
    </w:pPr>
  </w:style>
  <w:style w:type="paragraph" w:styleId="Titolo">
    <w:name w:val="Title"/>
    <w:basedOn w:val="Normale"/>
    <w:next w:val="Normale"/>
    <w:link w:val="TitoloCarattere"/>
    <w:uiPriority w:val="99"/>
    <w:semiHidden/>
    <w:qFormat/>
    <w:rsid w:val="00A71776"/>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A71776"/>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A71776"/>
    <w:pPr>
      <w:tabs>
        <w:tab w:val="center" w:pos="6407"/>
      </w:tabs>
      <w:spacing w:before="720"/>
      <w:jc w:val="right"/>
    </w:pPr>
  </w:style>
  <w:style w:type="character" w:customStyle="1" w:styleId="JuITMark">
    <w:name w:val="Ju_ITMark"/>
    <w:basedOn w:val="Carpredefinitoparagrafo"/>
    <w:uiPriority w:val="38"/>
    <w:qFormat/>
    <w:rsid w:val="00A71776"/>
    <w:rPr>
      <w:vanish w:val="0"/>
      <w:color w:val="auto"/>
      <w:sz w:val="14"/>
      <w:bdr w:val="none" w:sz="0" w:space="0" w:color="auto"/>
      <w:shd w:val="clear" w:color="auto" w:fill="BEE5FF" w:themeFill="background1" w:themeFillTint="33"/>
    </w:rPr>
  </w:style>
  <w:style w:type="paragraph" w:customStyle="1" w:styleId="ECHRHeading3">
    <w:name w:val="ECHR_Heading_3"/>
    <w:aliases w:val="Ju_H_1."/>
    <w:basedOn w:val="Titolo3"/>
    <w:next w:val="ECHRPara"/>
    <w:uiPriority w:val="21"/>
    <w:qFormat/>
    <w:rsid w:val="00A7177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A7177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A71776"/>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A7177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A71776"/>
    <w:pPr>
      <w:keepNext/>
      <w:keepLines/>
      <w:spacing w:before="240" w:after="120"/>
      <w:ind w:left="1236"/>
    </w:pPr>
    <w:rPr>
      <w:sz w:val="20"/>
      <w:lang w:val="en-GB"/>
    </w:rPr>
  </w:style>
  <w:style w:type="character" w:customStyle="1" w:styleId="JUNAMES">
    <w:name w:val="JU_NAMES"/>
    <w:uiPriority w:val="17"/>
    <w:qFormat/>
    <w:rsid w:val="00A71776"/>
    <w:rPr>
      <w:caps w:val="0"/>
      <w:smallCaps/>
    </w:rPr>
  </w:style>
  <w:style w:type="paragraph" w:styleId="Intestazione">
    <w:name w:val="header"/>
    <w:basedOn w:val="Normale"/>
    <w:link w:val="IntestazioneCarattere"/>
    <w:uiPriority w:val="57"/>
    <w:semiHidden/>
    <w:rsid w:val="00A7177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71776"/>
    <w:rPr>
      <w:sz w:val="24"/>
      <w:lang w:val="en-GB"/>
    </w:rPr>
  </w:style>
  <w:style w:type="character" w:customStyle="1" w:styleId="Titolo1Carattere">
    <w:name w:val="Titolo 1 Carattere"/>
    <w:basedOn w:val="Carpredefinitoparagrafo"/>
    <w:link w:val="Titolo1"/>
    <w:uiPriority w:val="99"/>
    <w:semiHidden/>
    <w:rsid w:val="00A71776"/>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A7177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A7177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A71776"/>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A71776"/>
    <w:pPr>
      <w:ind w:left="284"/>
    </w:pPr>
  </w:style>
  <w:style w:type="paragraph" w:customStyle="1" w:styleId="JuQuotSub">
    <w:name w:val="Ju_Quot_Sub"/>
    <w:basedOn w:val="ECHRParaQuote"/>
    <w:uiPriority w:val="15"/>
    <w:qFormat/>
    <w:rsid w:val="00A71776"/>
    <w:pPr>
      <w:ind w:left="567"/>
    </w:pPr>
  </w:style>
  <w:style w:type="character" w:customStyle="1" w:styleId="Titolo3Carattere">
    <w:name w:val="Titolo 3 Carattere"/>
    <w:basedOn w:val="Carpredefinitoparagrafo"/>
    <w:link w:val="Titolo3"/>
    <w:uiPriority w:val="99"/>
    <w:semiHidden/>
    <w:rsid w:val="00A71776"/>
    <w:rPr>
      <w:rFonts w:asciiTheme="majorHAnsi" w:eastAsiaTheme="majorEastAsia" w:hAnsiTheme="majorHAnsi" w:cstheme="majorBidi"/>
      <w:b/>
      <w:bCs/>
      <w:color w:val="5F5F5F"/>
      <w:sz w:val="24"/>
      <w:lang w:val="en-GB"/>
    </w:rPr>
  </w:style>
  <w:style w:type="paragraph" w:customStyle="1" w:styleId="JuTitle">
    <w:name w:val="Ju_Title"/>
    <w:basedOn w:val="Normale"/>
    <w:next w:val="ECHRPara"/>
    <w:uiPriority w:val="3"/>
    <w:semiHidden/>
    <w:qFormat/>
    <w:rsid w:val="00A71776"/>
    <w:pPr>
      <w:spacing w:before="720" w:after="240"/>
      <w:jc w:val="center"/>
      <w:outlineLvl w:val="0"/>
    </w:pPr>
    <w:rPr>
      <w:rFonts w:asciiTheme="majorHAnsi" w:hAnsiTheme="majorHAnsi"/>
      <w:b/>
      <w:caps/>
    </w:rPr>
  </w:style>
  <w:style w:type="paragraph" w:customStyle="1" w:styleId="ECHRDecisionBody">
    <w:name w:val="ECHR_Decision_Body"/>
    <w:aliases w:val="Ju_Judges"/>
    <w:basedOn w:val="Normale"/>
    <w:uiPriority w:val="11"/>
    <w:qFormat/>
    <w:rsid w:val="00A71776"/>
    <w:pPr>
      <w:tabs>
        <w:tab w:val="left" w:pos="567"/>
        <w:tab w:val="left" w:pos="1134"/>
      </w:tabs>
      <w:jc w:val="left"/>
    </w:pPr>
  </w:style>
  <w:style w:type="character" w:customStyle="1" w:styleId="Titolo4Carattere">
    <w:name w:val="Titolo 4 Carattere"/>
    <w:basedOn w:val="Carpredefinitoparagrafo"/>
    <w:link w:val="Titolo4"/>
    <w:uiPriority w:val="99"/>
    <w:semiHidden/>
    <w:rsid w:val="00A71776"/>
    <w:rPr>
      <w:rFonts w:asciiTheme="majorHAnsi" w:eastAsiaTheme="majorEastAsia" w:hAnsiTheme="majorHAnsi" w:cstheme="majorBidi"/>
      <w:b/>
      <w:bCs/>
      <w:i/>
      <w:iCs/>
      <w:color w:val="777777"/>
      <w:sz w:val="24"/>
      <w:lang w:val="en-GB"/>
    </w:rPr>
  </w:style>
  <w:style w:type="paragraph" w:customStyle="1" w:styleId="ECHRPara">
    <w:name w:val="ECHR_Para"/>
    <w:aliases w:val="Ju_Para"/>
    <w:basedOn w:val="Normale"/>
    <w:link w:val="ECHRParaChar"/>
    <w:uiPriority w:val="12"/>
    <w:qFormat/>
    <w:rsid w:val="00A71776"/>
    <w:pPr>
      <w:ind w:firstLine="284"/>
    </w:pPr>
  </w:style>
  <w:style w:type="character" w:customStyle="1" w:styleId="Titolo5Carattere">
    <w:name w:val="Titolo 5 Carattere"/>
    <w:basedOn w:val="Carpredefinitoparagrafo"/>
    <w:link w:val="Titolo5"/>
    <w:uiPriority w:val="99"/>
    <w:semiHidden/>
    <w:rsid w:val="00A71776"/>
    <w:rPr>
      <w:rFonts w:asciiTheme="majorHAnsi" w:eastAsiaTheme="majorEastAsia" w:hAnsiTheme="majorHAnsi" w:cstheme="majorBidi"/>
      <w:b/>
      <w:bCs/>
      <w:color w:val="808080"/>
    </w:rPr>
  </w:style>
  <w:style w:type="paragraph" w:customStyle="1" w:styleId="ECHRParaQuote">
    <w:name w:val="ECHR_Para_Quote"/>
    <w:aliases w:val="Ju_Quot"/>
    <w:basedOn w:val="Normale"/>
    <w:uiPriority w:val="14"/>
    <w:qFormat/>
    <w:rsid w:val="00A71776"/>
    <w:pPr>
      <w:spacing w:before="120" w:after="120"/>
      <w:ind w:left="425" w:firstLine="142"/>
    </w:pPr>
    <w:rPr>
      <w:sz w:val="20"/>
    </w:rPr>
  </w:style>
  <w:style w:type="paragraph" w:customStyle="1" w:styleId="ECHRTitle1">
    <w:name w:val="ECHR_Title_1"/>
    <w:aliases w:val="Ju_H_Head"/>
    <w:basedOn w:val="Normale"/>
    <w:next w:val="ECHRPara"/>
    <w:uiPriority w:val="18"/>
    <w:qFormat/>
    <w:rsid w:val="00A71776"/>
    <w:pPr>
      <w:keepNext/>
      <w:keepLines/>
      <w:spacing w:before="720" w:after="240"/>
      <w:outlineLvl w:val="0"/>
    </w:pPr>
    <w:rPr>
      <w:rFonts w:asciiTheme="majorHAnsi" w:hAnsiTheme="majorHAnsi"/>
      <w:sz w:val="28"/>
    </w:rPr>
  </w:style>
  <w:style w:type="character" w:styleId="Enfasidelicata">
    <w:name w:val="Subtle Emphasis"/>
    <w:uiPriority w:val="99"/>
    <w:semiHidden/>
    <w:qFormat/>
    <w:rsid w:val="00A7177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9"/>
    <w:semiHidden/>
    <w:qFormat/>
    <w:rsid w:val="00A71776"/>
    <w:rPr>
      <w:b/>
      <w:bCs/>
      <w:i/>
      <w:iCs/>
      <w:spacing w:val="10"/>
      <w:bdr w:val="none" w:sz="0" w:space="0" w:color="auto"/>
      <w:shd w:val="clear" w:color="auto" w:fill="auto"/>
    </w:rPr>
  </w:style>
  <w:style w:type="paragraph" w:styleId="Pidipagina">
    <w:name w:val="footer"/>
    <w:basedOn w:val="Normale"/>
    <w:link w:val="PidipaginaCarattere"/>
    <w:uiPriority w:val="57"/>
    <w:semiHidden/>
    <w:rsid w:val="00A7177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71776"/>
    <w:rPr>
      <w:sz w:val="24"/>
      <w:lang w:val="en-GB"/>
    </w:rPr>
  </w:style>
  <w:style w:type="character" w:styleId="Rimandonotaapidipagina">
    <w:name w:val="footnote reference"/>
    <w:basedOn w:val="Carpredefinitoparagrafo"/>
    <w:uiPriority w:val="99"/>
    <w:semiHidden/>
    <w:rsid w:val="00A71776"/>
    <w:rPr>
      <w:vertAlign w:val="superscript"/>
    </w:rPr>
  </w:style>
  <w:style w:type="paragraph" w:styleId="Testonotaapidipagina">
    <w:name w:val="footnote text"/>
    <w:basedOn w:val="Normale"/>
    <w:link w:val="TestonotaapidipaginaCarattere"/>
    <w:uiPriority w:val="99"/>
    <w:semiHidden/>
    <w:rsid w:val="00A71776"/>
    <w:rPr>
      <w:sz w:val="20"/>
      <w:szCs w:val="20"/>
    </w:rPr>
  </w:style>
  <w:style w:type="character" w:customStyle="1" w:styleId="TestonotaapidipaginaCarattere">
    <w:name w:val="Testo nota a piè di pagina Carattere"/>
    <w:basedOn w:val="Carpredefinitoparagrafo"/>
    <w:link w:val="Testonotaapidipagina"/>
    <w:uiPriority w:val="99"/>
    <w:semiHidden/>
    <w:rsid w:val="00A71776"/>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A71776"/>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A7177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7177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7177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71776"/>
    <w:rPr>
      <w:color w:val="0072BC" w:themeColor="hyperlink"/>
      <w:u w:val="single"/>
    </w:rPr>
  </w:style>
  <w:style w:type="character" w:styleId="Enfasiintensa">
    <w:name w:val="Intense Emphasis"/>
    <w:uiPriority w:val="99"/>
    <w:semiHidden/>
    <w:qFormat/>
    <w:rsid w:val="00A71776"/>
    <w:rPr>
      <w:b/>
      <w:bCs/>
    </w:rPr>
  </w:style>
  <w:style w:type="paragraph" w:styleId="Citazioneintensa">
    <w:name w:val="Intense Quote"/>
    <w:basedOn w:val="Normale"/>
    <w:next w:val="Normale"/>
    <w:link w:val="CitazioneintensaCarattere"/>
    <w:uiPriority w:val="99"/>
    <w:semiHidden/>
    <w:qFormat/>
    <w:rsid w:val="00A71776"/>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A71776"/>
    <w:rPr>
      <w:rFonts w:eastAsiaTheme="minorEastAsia"/>
      <w:b/>
      <w:bCs/>
      <w:i/>
      <w:iCs/>
      <w:lang w:bidi="en-US"/>
    </w:rPr>
  </w:style>
  <w:style w:type="character" w:styleId="Riferimentointenso">
    <w:name w:val="Intense Reference"/>
    <w:uiPriority w:val="99"/>
    <w:semiHidden/>
    <w:qFormat/>
    <w:rsid w:val="00A71776"/>
    <w:rPr>
      <w:smallCaps/>
      <w:spacing w:val="5"/>
      <w:u w:val="single"/>
    </w:rPr>
  </w:style>
  <w:style w:type="paragraph" w:styleId="Paragrafoelenco">
    <w:name w:val="List Paragraph"/>
    <w:basedOn w:val="Normale"/>
    <w:uiPriority w:val="99"/>
    <w:semiHidden/>
    <w:qFormat/>
    <w:rsid w:val="00A7177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71776"/>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A71776"/>
    <w:rPr>
      <w:rFonts w:eastAsiaTheme="minorEastAsia"/>
      <w:i/>
      <w:iCs/>
      <w:lang w:bidi="en-US"/>
    </w:rPr>
  </w:style>
  <w:style w:type="character" w:styleId="Riferimentodelicato">
    <w:name w:val="Subtle Reference"/>
    <w:uiPriority w:val="99"/>
    <w:semiHidden/>
    <w:qFormat/>
    <w:rsid w:val="00A71776"/>
    <w:rPr>
      <w:smallCaps/>
    </w:rPr>
  </w:style>
  <w:style w:type="table" w:styleId="Grigliatabella">
    <w:name w:val="Table Grid"/>
    <w:basedOn w:val="Tabellanormale"/>
    <w:uiPriority w:val="59"/>
    <w:semiHidden/>
    <w:rsid w:val="00A7177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7177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7177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7177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7177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7177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7177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7177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7177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A71776"/>
    <w:pPr>
      <w:tabs>
        <w:tab w:val="center" w:pos="851"/>
        <w:tab w:val="center" w:pos="6407"/>
      </w:tabs>
      <w:spacing w:before="720"/>
      <w:jc w:val="left"/>
    </w:pPr>
  </w:style>
  <w:style w:type="paragraph" w:customStyle="1" w:styleId="JuParaLast">
    <w:name w:val="Ju_Para_Last"/>
    <w:basedOn w:val="Normale"/>
    <w:next w:val="ECHRPara"/>
    <w:uiPriority w:val="30"/>
    <w:qFormat/>
    <w:rsid w:val="00A71776"/>
    <w:pPr>
      <w:keepNext/>
      <w:keepLines/>
      <w:spacing w:before="240"/>
      <w:ind w:firstLine="284"/>
    </w:pPr>
  </w:style>
  <w:style w:type="paragraph" w:customStyle="1" w:styleId="OpiH1">
    <w:name w:val="Opi_H_1"/>
    <w:basedOn w:val="ECHRHeading2"/>
    <w:uiPriority w:val="42"/>
    <w:qFormat/>
    <w:rsid w:val="00A71776"/>
    <w:pPr>
      <w:ind w:left="635" w:hanging="357"/>
      <w:outlineLvl w:val="2"/>
    </w:pPr>
  </w:style>
  <w:style w:type="paragraph" w:customStyle="1" w:styleId="JuList">
    <w:name w:val="Ju_List"/>
    <w:basedOn w:val="Normale"/>
    <w:uiPriority w:val="28"/>
    <w:qFormat/>
    <w:rsid w:val="00A71776"/>
    <w:pPr>
      <w:ind w:left="340" w:hanging="340"/>
    </w:pPr>
  </w:style>
  <w:style w:type="character" w:styleId="Numeropagina">
    <w:name w:val="page number"/>
    <w:uiPriority w:val="99"/>
    <w:semiHidden/>
    <w:rsid w:val="00F84635"/>
    <w:rPr>
      <w:rFonts w:ascii="Times New Roman" w:hAnsi="Times New Roman" w:cs="Times New Roman"/>
      <w:sz w:val="18"/>
    </w:rPr>
  </w:style>
  <w:style w:type="paragraph" w:customStyle="1" w:styleId="JuLista">
    <w:name w:val="Ju_List_a"/>
    <w:basedOn w:val="JuList"/>
    <w:uiPriority w:val="28"/>
    <w:qFormat/>
    <w:rsid w:val="00A71776"/>
    <w:pPr>
      <w:ind w:left="346" w:firstLine="0"/>
    </w:pPr>
  </w:style>
  <w:style w:type="paragraph" w:customStyle="1" w:styleId="JuListi">
    <w:name w:val="Ju_List_i"/>
    <w:basedOn w:val="Normale"/>
    <w:next w:val="JuLista"/>
    <w:uiPriority w:val="28"/>
    <w:qFormat/>
    <w:rsid w:val="00A71776"/>
    <w:pPr>
      <w:ind w:left="794"/>
    </w:pPr>
  </w:style>
  <w:style w:type="character" w:styleId="Rimandocommento">
    <w:name w:val="annotation reference"/>
    <w:semiHidden/>
    <w:rsid w:val="00F84635"/>
    <w:rPr>
      <w:sz w:val="16"/>
    </w:rPr>
  </w:style>
  <w:style w:type="paragraph" w:styleId="Testocommento">
    <w:name w:val="annotation text"/>
    <w:basedOn w:val="Normale"/>
    <w:link w:val="TestocommentoCarattere"/>
    <w:semiHidden/>
    <w:rsid w:val="00F84635"/>
    <w:rPr>
      <w:sz w:val="20"/>
    </w:rPr>
  </w:style>
  <w:style w:type="character" w:customStyle="1" w:styleId="TestocommentoCarattere">
    <w:name w:val="Testo commento Carattere"/>
    <w:basedOn w:val="Carpredefinitoparagrafo"/>
    <w:link w:val="Testocommento"/>
    <w:semiHidden/>
    <w:rsid w:val="00F84635"/>
    <w:rPr>
      <w:rFonts w:eastAsiaTheme="minorEastAsia"/>
      <w:sz w:val="20"/>
    </w:rPr>
  </w:style>
  <w:style w:type="paragraph" w:styleId="Soggettocommento">
    <w:name w:val="annotation subject"/>
    <w:basedOn w:val="Testocommento"/>
    <w:next w:val="Testocommento"/>
    <w:link w:val="SoggettocommentoCarattere"/>
    <w:uiPriority w:val="99"/>
    <w:semiHidden/>
    <w:rsid w:val="00F84635"/>
    <w:rPr>
      <w:b/>
      <w:bCs/>
    </w:rPr>
  </w:style>
  <w:style w:type="character" w:customStyle="1" w:styleId="SoggettocommentoCarattere">
    <w:name w:val="Soggetto commento Carattere"/>
    <w:basedOn w:val="TestocommentoCarattere"/>
    <w:link w:val="Soggettocommento"/>
    <w:uiPriority w:val="99"/>
    <w:semiHidden/>
    <w:rsid w:val="00F84635"/>
    <w:rPr>
      <w:rFonts w:eastAsiaTheme="minorEastAsia"/>
      <w:b/>
      <w:bCs/>
      <w:sz w:val="20"/>
    </w:rPr>
  </w:style>
  <w:style w:type="character" w:styleId="Rimandonotadichiusura">
    <w:name w:val="endnote reference"/>
    <w:basedOn w:val="Carpredefinitoparagrafo"/>
    <w:uiPriority w:val="99"/>
    <w:semiHidden/>
    <w:rsid w:val="00A71776"/>
    <w:rPr>
      <w:vertAlign w:val="superscript"/>
    </w:rPr>
  </w:style>
  <w:style w:type="paragraph" w:styleId="Testonotadichiusura">
    <w:name w:val="endnote text"/>
    <w:basedOn w:val="Normale"/>
    <w:link w:val="TestonotadichiusuraCarattere"/>
    <w:uiPriority w:val="99"/>
    <w:semiHidden/>
    <w:rsid w:val="00A71776"/>
    <w:rPr>
      <w:sz w:val="20"/>
      <w:szCs w:val="20"/>
    </w:rPr>
  </w:style>
  <w:style w:type="character" w:customStyle="1" w:styleId="TestonotadichiusuraCarattere">
    <w:name w:val="Testo nota di chiusura Carattere"/>
    <w:basedOn w:val="Carpredefinitoparagrafo"/>
    <w:link w:val="Testonotadichiusura"/>
    <w:uiPriority w:val="99"/>
    <w:semiHidden/>
    <w:rsid w:val="00A71776"/>
    <w:rPr>
      <w:rFonts w:eastAsiaTheme="minorEastAsia"/>
      <w:sz w:val="20"/>
      <w:szCs w:val="20"/>
      <w:lang w:val="en-GB"/>
    </w:rPr>
  </w:style>
  <w:style w:type="character" w:styleId="Collegamentovisitato">
    <w:name w:val="FollowedHyperlink"/>
    <w:uiPriority w:val="99"/>
    <w:semiHidden/>
    <w:rsid w:val="00F84635"/>
    <w:rPr>
      <w:rFonts w:ascii="Times New Roman" w:hAnsi="Times New Roman" w:cs="Times New Roman"/>
      <w:color w:val="800080"/>
      <w:u w:val="single"/>
    </w:rPr>
  </w:style>
  <w:style w:type="paragraph" w:styleId="Mappadocumento">
    <w:name w:val="Document Map"/>
    <w:basedOn w:val="Normale"/>
    <w:link w:val="MappadocumentoCarattere"/>
    <w:uiPriority w:val="99"/>
    <w:semiHidden/>
    <w:rsid w:val="00F84635"/>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F84635"/>
    <w:rPr>
      <w:rFonts w:ascii="Tahoma" w:eastAsiaTheme="minorEastAsia" w:hAnsi="Tahoma" w:cs="Tahoma"/>
      <w:sz w:val="20"/>
      <w:shd w:val="clear" w:color="auto" w:fill="000080"/>
    </w:rPr>
  </w:style>
  <w:style w:type="paragraph" w:styleId="Puntoelenco">
    <w:name w:val="List Bullet"/>
    <w:basedOn w:val="Normale"/>
    <w:uiPriority w:val="99"/>
    <w:semiHidden/>
    <w:rsid w:val="00F84635"/>
    <w:pPr>
      <w:numPr>
        <w:numId w:val="1"/>
      </w:numPr>
    </w:pPr>
  </w:style>
  <w:style w:type="paragraph" w:styleId="Sottotitolo">
    <w:name w:val="Subtitle"/>
    <w:basedOn w:val="Normale"/>
    <w:next w:val="Normale"/>
    <w:link w:val="SottotitoloCarattere"/>
    <w:uiPriority w:val="99"/>
    <w:semiHidden/>
    <w:qFormat/>
    <w:rsid w:val="00A71776"/>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A7177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F84635"/>
    <w:pPr>
      <w:numPr>
        <w:numId w:val="10"/>
      </w:numPr>
    </w:pPr>
  </w:style>
  <w:style w:type="numbering" w:styleId="1ai">
    <w:name w:val="Outline List 1"/>
    <w:basedOn w:val="Nessunelenco"/>
    <w:uiPriority w:val="99"/>
    <w:semiHidden/>
    <w:rsid w:val="00F84635"/>
    <w:pPr>
      <w:numPr>
        <w:numId w:val="11"/>
      </w:numPr>
    </w:pPr>
  </w:style>
  <w:style w:type="numbering" w:styleId="ArticoloSezione">
    <w:name w:val="Outline List 3"/>
    <w:basedOn w:val="Nessunelenco"/>
    <w:uiPriority w:val="99"/>
    <w:semiHidden/>
    <w:rsid w:val="00F84635"/>
    <w:pPr>
      <w:numPr>
        <w:numId w:val="12"/>
      </w:numPr>
    </w:pPr>
  </w:style>
  <w:style w:type="paragraph" w:styleId="Bibliografia">
    <w:name w:val="Bibliography"/>
    <w:basedOn w:val="Normale"/>
    <w:next w:val="Normale"/>
    <w:uiPriority w:val="99"/>
    <w:semiHidden/>
    <w:unhideWhenUsed/>
    <w:rsid w:val="00F84635"/>
  </w:style>
  <w:style w:type="paragraph" w:styleId="Testodelblocco">
    <w:name w:val="Block Text"/>
    <w:basedOn w:val="Normale"/>
    <w:uiPriority w:val="99"/>
    <w:semiHidden/>
    <w:rsid w:val="00F84635"/>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F84635"/>
    <w:pPr>
      <w:spacing w:after="120"/>
    </w:pPr>
  </w:style>
  <w:style w:type="character" w:customStyle="1" w:styleId="CorpotestoCarattere">
    <w:name w:val="Corpo testo Carattere"/>
    <w:basedOn w:val="Carpredefinitoparagrafo"/>
    <w:link w:val="Corpotesto"/>
    <w:uiPriority w:val="99"/>
    <w:semiHidden/>
    <w:rsid w:val="00F84635"/>
    <w:rPr>
      <w:rFonts w:eastAsiaTheme="minorEastAsia"/>
      <w:sz w:val="24"/>
    </w:rPr>
  </w:style>
  <w:style w:type="paragraph" w:styleId="Corpodeltesto2">
    <w:name w:val="Body Text 2"/>
    <w:basedOn w:val="Normale"/>
    <w:link w:val="Corpodeltesto2Carattere"/>
    <w:uiPriority w:val="99"/>
    <w:semiHidden/>
    <w:rsid w:val="00F84635"/>
    <w:pPr>
      <w:spacing w:after="120" w:line="480" w:lineRule="auto"/>
    </w:pPr>
  </w:style>
  <w:style w:type="character" w:customStyle="1" w:styleId="Corpodeltesto2Carattere">
    <w:name w:val="Corpo del testo 2 Carattere"/>
    <w:basedOn w:val="Carpredefinitoparagrafo"/>
    <w:link w:val="Corpodeltesto2"/>
    <w:uiPriority w:val="99"/>
    <w:semiHidden/>
    <w:rsid w:val="00F84635"/>
    <w:rPr>
      <w:rFonts w:eastAsiaTheme="minorEastAsia"/>
      <w:sz w:val="24"/>
    </w:rPr>
  </w:style>
  <w:style w:type="paragraph" w:styleId="Corpodeltesto3">
    <w:name w:val="Body Text 3"/>
    <w:basedOn w:val="Normale"/>
    <w:link w:val="Corpodeltesto3Carattere"/>
    <w:uiPriority w:val="99"/>
    <w:semiHidden/>
    <w:rsid w:val="00F8463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84635"/>
    <w:rPr>
      <w:rFonts w:eastAsiaTheme="minorEastAsia"/>
      <w:sz w:val="16"/>
      <w:szCs w:val="16"/>
    </w:rPr>
  </w:style>
  <w:style w:type="paragraph" w:styleId="Primorientrocorpodeltesto">
    <w:name w:val="Body Text First Indent"/>
    <w:basedOn w:val="Corpotesto"/>
    <w:link w:val="PrimorientrocorpodeltestoCarattere"/>
    <w:uiPriority w:val="99"/>
    <w:semiHidden/>
    <w:rsid w:val="00F84635"/>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F84635"/>
    <w:rPr>
      <w:rFonts w:eastAsiaTheme="minorEastAsia"/>
      <w:sz w:val="24"/>
    </w:rPr>
  </w:style>
  <w:style w:type="paragraph" w:styleId="Rientrocorpodeltesto">
    <w:name w:val="Body Text Indent"/>
    <w:basedOn w:val="Normale"/>
    <w:link w:val="RientrocorpodeltestoCarattere"/>
    <w:uiPriority w:val="99"/>
    <w:semiHidden/>
    <w:rsid w:val="00F8463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84635"/>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F8463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F84635"/>
    <w:rPr>
      <w:rFonts w:eastAsiaTheme="minorEastAsia"/>
      <w:sz w:val="24"/>
    </w:rPr>
  </w:style>
  <w:style w:type="paragraph" w:styleId="Rientrocorpodeltesto2">
    <w:name w:val="Body Text Indent 2"/>
    <w:basedOn w:val="Normale"/>
    <w:link w:val="Rientrocorpodeltesto2Carattere"/>
    <w:uiPriority w:val="99"/>
    <w:semiHidden/>
    <w:rsid w:val="00F8463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84635"/>
    <w:rPr>
      <w:rFonts w:eastAsiaTheme="minorEastAsia"/>
      <w:sz w:val="24"/>
    </w:rPr>
  </w:style>
  <w:style w:type="paragraph" w:styleId="Rientrocorpodeltesto3">
    <w:name w:val="Body Text Indent 3"/>
    <w:basedOn w:val="Normale"/>
    <w:link w:val="Rientrocorpodeltesto3Carattere"/>
    <w:uiPriority w:val="99"/>
    <w:semiHidden/>
    <w:rsid w:val="00F8463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84635"/>
    <w:rPr>
      <w:rFonts w:eastAsiaTheme="minorEastAsia"/>
      <w:sz w:val="16"/>
      <w:szCs w:val="16"/>
    </w:rPr>
  </w:style>
  <w:style w:type="paragraph" w:styleId="Didascalia">
    <w:name w:val="caption"/>
    <w:basedOn w:val="Normale"/>
    <w:next w:val="Normale"/>
    <w:uiPriority w:val="99"/>
    <w:semiHidden/>
    <w:qFormat/>
    <w:rsid w:val="00F84635"/>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F84635"/>
    <w:pPr>
      <w:ind w:left="4252"/>
    </w:pPr>
  </w:style>
  <w:style w:type="character" w:customStyle="1" w:styleId="FormuladichiusuraCarattere">
    <w:name w:val="Formula di chiusura Carattere"/>
    <w:basedOn w:val="Carpredefinitoparagrafo"/>
    <w:link w:val="Formuladichiusura"/>
    <w:uiPriority w:val="99"/>
    <w:semiHidden/>
    <w:rsid w:val="00F84635"/>
    <w:rPr>
      <w:rFonts w:eastAsiaTheme="minorEastAsia"/>
      <w:sz w:val="24"/>
    </w:rPr>
  </w:style>
  <w:style w:type="table" w:styleId="Grigliaacolori">
    <w:name w:val="Colorful Grid"/>
    <w:basedOn w:val="Tabellanormale"/>
    <w:uiPriority w:val="99"/>
    <w:semiHidden/>
    <w:rsid w:val="00F84635"/>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F84635"/>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F84635"/>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F84635"/>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F84635"/>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F84635"/>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F84635"/>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F84635"/>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F84635"/>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F84635"/>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F84635"/>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F84635"/>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F84635"/>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F84635"/>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F84635"/>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F84635"/>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F84635"/>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F84635"/>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F84635"/>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F84635"/>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F84635"/>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F84635"/>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F84635"/>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F84635"/>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F84635"/>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F84635"/>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F84635"/>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F84635"/>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F84635"/>
  </w:style>
  <w:style w:type="character" w:customStyle="1" w:styleId="DataCarattere">
    <w:name w:val="Data Carattere"/>
    <w:basedOn w:val="Carpredefinitoparagrafo"/>
    <w:link w:val="Data"/>
    <w:uiPriority w:val="99"/>
    <w:semiHidden/>
    <w:rsid w:val="00F84635"/>
    <w:rPr>
      <w:rFonts w:eastAsiaTheme="minorEastAsia"/>
      <w:sz w:val="24"/>
    </w:rPr>
  </w:style>
  <w:style w:type="paragraph" w:styleId="Firmadipostaelettronica">
    <w:name w:val="E-mail Signature"/>
    <w:basedOn w:val="Normale"/>
    <w:link w:val="FirmadipostaelettronicaCarattere"/>
    <w:uiPriority w:val="99"/>
    <w:semiHidden/>
    <w:rsid w:val="00F84635"/>
  </w:style>
  <w:style w:type="character" w:customStyle="1" w:styleId="FirmadipostaelettronicaCarattere">
    <w:name w:val="Firma di posta elettronica Carattere"/>
    <w:basedOn w:val="Carpredefinitoparagrafo"/>
    <w:link w:val="Firmadipostaelettronica"/>
    <w:uiPriority w:val="99"/>
    <w:semiHidden/>
    <w:rsid w:val="00F84635"/>
    <w:rPr>
      <w:rFonts w:eastAsiaTheme="minorEastAsia"/>
      <w:sz w:val="24"/>
    </w:rPr>
  </w:style>
  <w:style w:type="paragraph" w:styleId="Indirizzodestinatario">
    <w:name w:val="envelope address"/>
    <w:basedOn w:val="Normale"/>
    <w:uiPriority w:val="99"/>
    <w:semiHidden/>
    <w:rsid w:val="00F84635"/>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F84635"/>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F84635"/>
  </w:style>
  <w:style w:type="paragraph" w:styleId="IndirizzoHTML">
    <w:name w:val="HTML Address"/>
    <w:basedOn w:val="Normale"/>
    <w:link w:val="IndirizzoHTMLCarattere"/>
    <w:uiPriority w:val="99"/>
    <w:semiHidden/>
    <w:rsid w:val="00F84635"/>
    <w:rPr>
      <w:i/>
      <w:iCs/>
    </w:rPr>
  </w:style>
  <w:style w:type="character" w:customStyle="1" w:styleId="IndirizzoHTMLCarattere">
    <w:name w:val="Indirizzo HTML Carattere"/>
    <w:basedOn w:val="Carpredefinitoparagrafo"/>
    <w:link w:val="IndirizzoHTML"/>
    <w:uiPriority w:val="99"/>
    <w:semiHidden/>
    <w:rsid w:val="00F84635"/>
    <w:rPr>
      <w:rFonts w:eastAsiaTheme="minorEastAsia"/>
      <w:i/>
      <w:iCs/>
      <w:sz w:val="24"/>
    </w:rPr>
  </w:style>
  <w:style w:type="character" w:styleId="CitazioneHTML">
    <w:name w:val="HTML Cite"/>
    <w:basedOn w:val="Carpredefinitoparagrafo"/>
    <w:uiPriority w:val="99"/>
    <w:semiHidden/>
    <w:rsid w:val="00F84635"/>
    <w:rPr>
      <w:i/>
      <w:iCs/>
    </w:rPr>
  </w:style>
  <w:style w:type="character" w:styleId="CodiceHTML">
    <w:name w:val="HTML Code"/>
    <w:basedOn w:val="Carpredefinitoparagrafo"/>
    <w:uiPriority w:val="99"/>
    <w:semiHidden/>
    <w:rsid w:val="00F84635"/>
    <w:rPr>
      <w:rFonts w:ascii="Consolas" w:hAnsi="Consolas" w:cs="Consolas"/>
      <w:sz w:val="20"/>
      <w:szCs w:val="20"/>
    </w:rPr>
  </w:style>
  <w:style w:type="character" w:styleId="DefinizioneHTML">
    <w:name w:val="HTML Definition"/>
    <w:basedOn w:val="Carpredefinitoparagrafo"/>
    <w:uiPriority w:val="99"/>
    <w:semiHidden/>
    <w:rsid w:val="00F84635"/>
    <w:rPr>
      <w:i/>
      <w:iCs/>
    </w:rPr>
  </w:style>
  <w:style w:type="character" w:styleId="TastieraHTML">
    <w:name w:val="HTML Keyboard"/>
    <w:basedOn w:val="Carpredefinitoparagrafo"/>
    <w:uiPriority w:val="99"/>
    <w:semiHidden/>
    <w:rsid w:val="00F84635"/>
    <w:rPr>
      <w:rFonts w:ascii="Consolas" w:hAnsi="Consolas" w:cs="Consolas"/>
      <w:sz w:val="20"/>
      <w:szCs w:val="20"/>
    </w:rPr>
  </w:style>
  <w:style w:type="paragraph" w:styleId="PreformattatoHTML">
    <w:name w:val="HTML Preformatted"/>
    <w:basedOn w:val="Normale"/>
    <w:link w:val="PreformattatoHTMLCarattere"/>
    <w:uiPriority w:val="99"/>
    <w:semiHidden/>
    <w:rsid w:val="00F8463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F84635"/>
    <w:rPr>
      <w:rFonts w:ascii="Consolas" w:eastAsiaTheme="minorEastAsia" w:hAnsi="Consolas" w:cs="Consolas"/>
      <w:sz w:val="20"/>
      <w:szCs w:val="20"/>
    </w:rPr>
  </w:style>
  <w:style w:type="character" w:styleId="EsempioHTML">
    <w:name w:val="HTML Sample"/>
    <w:basedOn w:val="Carpredefinitoparagrafo"/>
    <w:uiPriority w:val="99"/>
    <w:semiHidden/>
    <w:rsid w:val="00F84635"/>
    <w:rPr>
      <w:rFonts w:ascii="Consolas" w:hAnsi="Consolas" w:cs="Consolas"/>
      <w:sz w:val="24"/>
      <w:szCs w:val="24"/>
    </w:rPr>
  </w:style>
  <w:style w:type="character" w:styleId="MacchinadascrivereHTML">
    <w:name w:val="HTML Typewriter"/>
    <w:basedOn w:val="Carpredefinitoparagrafo"/>
    <w:uiPriority w:val="99"/>
    <w:semiHidden/>
    <w:rsid w:val="00F84635"/>
    <w:rPr>
      <w:rFonts w:ascii="Consolas" w:hAnsi="Consolas" w:cs="Consolas"/>
      <w:sz w:val="20"/>
      <w:szCs w:val="20"/>
    </w:rPr>
  </w:style>
  <w:style w:type="character" w:styleId="VariabileHTML">
    <w:name w:val="HTML Variable"/>
    <w:basedOn w:val="Carpredefinitoparagrafo"/>
    <w:uiPriority w:val="99"/>
    <w:semiHidden/>
    <w:rsid w:val="00F84635"/>
    <w:rPr>
      <w:i/>
      <w:iCs/>
    </w:rPr>
  </w:style>
  <w:style w:type="paragraph" w:styleId="Indice1">
    <w:name w:val="index 1"/>
    <w:basedOn w:val="Normale"/>
    <w:next w:val="Normale"/>
    <w:autoRedefine/>
    <w:uiPriority w:val="99"/>
    <w:semiHidden/>
    <w:rsid w:val="00F84635"/>
    <w:pPr>
      <w:ind w:left="240" w:hanging="240"/>
    </w:pPr>
  </w:style>
  <w:style w:type="paragraph" w:styleId="Indice2">
    <w:name w:val="index 2"/>
    <w:basedOn w:val="Normale"/>
    <w:next w:val="Normale"/>
    <w:autoRedefine/>
    <w:uiPriority w:val="99"/>
    <w:semiHidden/>
    <w:rsid w:val="00F84635"/>
    <w:pPr>
      <w:ind w:left="480" w:hanging="240"/>
    </w:pPr>
  </w:style>
  <w:style w:type="paragraph" w:styleId="Indice3">
    <w:name w:val="index 3"/>
    <w:basedOn w:val="Normale"/>
    <w:next w:val="Normale"/>
    <w:autoRedefine/>
    <w:uiPriority w:val="99"/>
    <w:semiHidden/>
    <w:rsid w:val="00F84635"/>
    <w:pPr>
      <w:ind w:left="720" w:hanging="240"/>
    </w:pPr>
  </w:style>
  <w:style w:type="paragraph" w:styleId="Indice4">
    <w:name w:val="index 4"/>
    <w:basedOn w:val="Normale"/>
    <w:next w:val="Normale"/>
    <w:autoRedefine/>
    <w:uiPriority w:val="99"/>
    <w:semiHidden/>
    <w:rsid w:val="00F84635"/>
    <w:pPr>
      <w:ind w:left="960" w:hanging="240"/>
    </w:pPr>
  </w:style>
  <w:style w:type="paragraph" w:styleId="Indice5">
    <w:name w:val="index 5"/>
    <w:basedOn w:val="Normale"/>
    <w:next w:val="Normale"/>
    <w:autoRedefine/>
    <w:uiPriority w:val="99"/>
    <w:semiHidden/>
    <w:rsid w:val="00F84635"/>
    <w:pPr>
      <w:ind w:left="1200" w:hanging="240"/>
    </w:pPr>
  </w:style>
  <w:style w:type="paragraph" w:styleId="Indice6">
    <w:name w:val="index 6"/>
    <w:basedOn w:val="Normale"/>
    <w:next w:val="Normale"/>
    <w:autoRedefine/>
    <w:uiPriority w:val="99"/>
    <w:semiHidden/>
    <w:rsid w:val="00F84635"/>
    <w:pPr>
      <w:ind w:left="1440" w:hanging="240"/>
    </w:pPr>
  </w:style>
  <w:style w:type="paragraph" w:styleId="Indice7">
    <w:name w:val="index 7"/>
    <w:basedOn w:val="Normale"/>
    <w:next w:val="Normale"/>
    <w:autoRedefine/>
    <w:uiPriority w:val="99"/>
    <w:semiHidden/>
    <w:rsid w:val="00F84635"/>
    <w:pPr>
      <w:ind w:left="1680" w:hanging="240"/>
    </w:pPr>
  </w:style>
  <w:style w:type="paragraph" w:styleId="Indice8">
    <w:name w:val="index 8"/>
    <w:basedOn w:val="Normale"/>
    <w:next w:val="Normale"/>
    <w:autoRedefine/>
    <w:uiPriority w:val="99"/>
    <w:semiHidden/>
    <w:rsid w:val="00F84635"/>
    <w:pPr>
      <w:ind w:left="1920" w:hanging="240"/>
    </w:pPr>
  </w:style>
  <w:style w:type="paragraph" w:styleId="Indice9">
    <w:name w:val="index 9"/>
    <w:basedOn w:val="Normale"/>
    <w:next w:val="Normale"/>
    <w:autoRedefine/>
    <w:uiPriority w:val="99"/>
    <w:semiHidden/>
    <w:rsid w:val="00F84635"/>
    <w:pPr>
      <w:ind w:left="2160" w:hanging="240"/>
    </w:pPr>
  </w:style>
  <w:style w:type="paragraph" w:styleId="Titoloindice">
    <w:name w:val="index heading"/>
    <w:basedOn w:val="Normale"/>
    <w:next w:val="Indice1"/>
    <w:uiPriority w:val="99"/>
    <w:semiHidden/>
    <w:rsid w:val="00F84635"/>
    <w:rPr>
      <w:rFonts w:asciiTheme="majorHAnsi" w:eastAsiaTheme="majorEastAsia" w:hAnsiTheme="majorHAnsi" w:cstheme="majorBidi"/>
      <w:b/>
      <w:bCs/>
    </w:rPr>
  </w:style>
  <w:style w:type="table" w:styleId="Grigliachiara">
    <w:name w:val="Light Grid"/>
    <w:basedOn w:val="Tabellanormale"/>
    <w:uiPriority w:val="99"/>
    <w:semiHidden/>
    <w:rsid w:val="00F84635"/>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F84635"/>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F84635"/>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F84635"/>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F84635"/>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F84635"/>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F84635"/>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F84635"/>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F84635"/>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F84635"/>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F84635"/>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F84635"/>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F84635"/>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F84635"/>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F84635"/>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F84635"/>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F84635"/>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F84635"/>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F84635"/>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F84635"/>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F84635"/>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F84635"/>
  </w:style>
  <w:style w:type="paragraph" w:styleId="Elenco">
    <w:name w:val="List"/>
    <w:basedOn w:val="Normale"/>
    <w:uiPriority w:val="99"/>
    <w:semiHidden/>
    <w:rsid w:val="00F84635"/>
    <w:pPr>
      <w:ind w:left="283" w:hanging="283"/>
      <w:contextualSpacing/>
    </w:pPr>
  </w:style>
  <w:style w:type="paragraph" w:styleId="Elenco2">
    <w:name w:val="List 2"/>
    <w:basedOn w:val="Normale"/>
    <w:uiPriority w:val="99"/>
    <w:semiHidden/>
    <w:rsid w:val="00F84635"/>
    <w:pPr>
      <w:ind w:left="566" w:hanging="283"/>
      <w:contextualSpacing/>
    </w:pPr>
  </w:style>
  <w:style w:type="paragraph" w:styleId="Elenco3">
    <w:name w:val="List 3"/>
    <w:basedOn w:val="Normale"/>
    <w:uiPriority w:val="99"/>
    <w:semiHidden/>
    <w:rsid w:val="00F84635"/>
    <w:pPr>
      <w:ind w:left="849" w:hanging="283"/>
      <w:contextualSpacing/>
    </w:pPr>
  </w:style>
  <w:style w:type="paragraph" w:styleId="Elenco4">
    <w:name w:val="List 4"/>
    <w:basedOn w:val="Normale"/>
    <w:uiPriority w:val="99"/>
    <w:semiHidden/>
    <w:rsid w:val="00F84635"/>
    <w:pPr>
      <w:ind w:left="1132" w:hanging="283"/>
      <w:contextualSpacing/>
    </w:pPr>
  </w:style>
  <w:style w:type="paragraph" w:styleId="Elenco5">
    <w:name w:val="List 5"/>
    <w:basedOn w:val="Normale"/>
    <w:uiPriority w:val="99"/>
    <w:semiHidden/>
    <w:rsid w:val="00F84635"/>
    <w:pPr>
      <w:ind w:left="1415" w:hanging="283"/>
      <w:contextualSpacing/>
    </w:pPr>
  </w:style>
  <w:style w:type="paragraph" w:styleId="Puntoelenco2">
    <w:name w:val="List Bullet 2"/>
    <w:basedOn w:val="Normale"/>
    <w:uiPriority w:val="99"/>
    <w:semiHidden/>
    <w:rsid w:val="00F84635"/>
    <w:pPr>
      <w:numPr>
        <w:numId w:val="2"/>
      </w:numPr>
      <w:contextualSpacing/>
    </w:pPr>
  </w:style>
  <w:style w:type="paragraph" w:styleId="Puntoelenco3">
    <w:name w:val="List Bullet 3"/>
    <w:basedOn w:val="Normale"/>
    <w:uiPriority w:val="99"/>
    <w:semiHidden/>
    <w:rsid w:val="00F84635"/>
    <w:pPr>
      <w:numPr>
        <w:numId w:val="3"/>
      </w:numPr>
      <w:contextualSpacing/>
    </w:pPr>
  </w:style>
  <w:style w:type="paragraph" w:styleId="Puntoelenco4">
    <w:name w:val="List Bullet 4"/>
    <w:basedOn w:val="Normale"/>
    <w:uiPriority w:val="99"/>
    <w:semiHidden/>
    <w:rsid w:val="00F84635"/>
    <w:pPr>
      <w:tabs>
        <w:tab w:val="num" w:pos="1209"/>
      </w:tabs>
      <w:ind w:left="1209" w:hanging="360"/>
      <w:contextualSpacing/>
    </w:pPr>
  </w:style>
  <w:style w:type="paragraph" w:styleId="Puntoelenco5">
    <w:name w:val="List Bullet 5"/>
    <w:basedOn w:val="Normale"/>
    <w:uiPriority w:val="99"/>
    <w:semiHidden/>
    <w:rsid w:val="00F84635"/>
    <w:pPr>
      <w:numPr>
        <w:numId w:val="4"/>
      </w:numPr>
      <w:contextualSpacing/>
    </w:pPr>
  </w:style>
  <w:style w:type="paragraph" w:styleId="Elencocontinua">
    <w:name w:val="List Continue"/>
    <w:basedOn w:val="Normale"/>
    <w:uiPriority w:val="99"/>
    <w:semiHidden/>
    <w:rsid w:val="00F84635"/>
    <w:pPr>
      <w:spacing w:after="120"/>
      <w:ind w:left="283"/>
      <w:contextualSpacing/>
    </w:pPr>
  </w:style>
  <w:style w:type="paragraph" w:styleId="Elencocontinua2">
    <w:name w:val="List Continue 2"/>
    <w:basedOn w:val="Normale"/>
    <w:uiPriority w:val="99"/>
    <w:semiHidden/>
    <w:rsid w:val="00F84635"/>
    <w:pPr>
      <w:spacing w:after="120"/>
      <w:ind w:left="566"/>
      <w:contextualSpacing/>
    </w:pPr>
  </w:style>
  <w:style w:type="paragraph" w:styleId="Elencocontinua3">
    <w:name w:val="List Continue 3"/>
    <w:basedOn w:val="Normale"/>
    <w:uiPriority w:val="99"/>
    <w:semiHidden/>
    <w:rsid w:val="00F84635"/>
    <w:pPr>
      <w:spacing w:after="120"/>
      <w:ind w:left="849"/>
      <w:contextualSpacing/>
    </w:pPr>
  </w:style>
  <w:style w:type="paragraph" w:styleId="Elencocontinua4">
    <w:name w:val="List Continue 4"/>
    <w:basedOn w:val="Normale"/>
    <w:uiPriority w:val="99"/>
    <w:semiHidden/>
    <w:rsid w:val="00F84635"/>
    <w:pPr>
      <w:spacing w:after="120"/>
      <w:ind w:left="1132"/>
      <w:contextualSpacing/>
    </w:pPr>
  </w:style>
  <w:style w:type="paragraph" w:styleId="Elencocontinua5">
    <w:name w:val="List Continue 5"/>
    <w:basedOn w:val="Normale"/>
    <w:uiPriority w:val="99"/>
    <w:semiHidden/>
    <w:rsid w:val="00F84635"/>
    <w:pPr>
      <w:spacing w:after="120"/>
      <w:ind w:left="1415"/>
      <w:contextualSpacing/>
    </w:pPr>
  </w:style>
  <w:style w:type="paragraph" w:styleId="Numeroelenco">
    <w:name w:val="List Number"/>
    <w:basedOn w:val="Normale"/>
    <w:uiPriority w:val="99"/>
    <w:semiHidden/>
    <w:rsid w:val="00F84635"/>
    <w:pPr>
      <w:numPr>
        <w:numId w:val="5"/>
      </w:numPr>
      <w:contextualSpacing/>
    </w:pPr>
  </w:style>
  <w:style w:type="paragraph" w:styleId="Numeroelenco2">
    <w:name w:val="List Number 2"/>
    <w:basedOn w:val="Normale"/>
    <w:uiPriority w:val="99"/>
    <w:semiHidden/>
    <w:rsid w:val="00F84635"/>
    <w:pPr>
      <w:numPr>
        <w:numId w:val="6"/>
      </w:numPr>
      <w:contextualSpacing/>
    </w:pPr>
  </w:style>
  <w:style w:type="paragraph" w:styleId="Numeroelenco3">
    <w:name w:val="List Number 3"/>
    <w:basedOn w:val="Normale"/>
    <w:uiPriority w:val="99"/>
    <w:semiHidden/>
    <w:rsid w:val="00F84635"/>
    <w:pPr>
      <w:numPr>
        <w:numId w:val="7"/>
      </w:numPr>
      <w:contextualSpacing/>
    </w:pPr>
  </w:style>
  <w:style w:type="paragraph" w:styleId="Numeroelenco4">
    <w:name w:val="List Number 4"/>
    <w:basedOn w:val="Normale"/>
    <w:uiPriority w:val="99"/>
    <w:semiHidden/>
    <w:rsid w:val="00F84635"/>
    <w:pPr>
      <w:numPr>
        <w:numId w:val="8"/>
      </w:numPr>
      <w:contextualSpacing/>
    </w:pPr>
  </w:style>
  <w:style w:type="paragraph" w:styleId="Numeroelenco5">
    <w:name w:val="List Number 5"/>
    <w:basedOn w:val="Normale"/>
    <w:uiPriority w:val="99"/>
    <w:semiHidden/>
    <w:rsid w:val="00F84635"/>
    <w:pPr>
      <w:numPr>
        <w:numId w:val="9"/>
      </w:numPr>
      <w:contextualSpacing/>
    </w:pPr>
  </w:style>
  <w:style w:type="paragraph" w:styleId="Testomacro">
    <w:name w:val="macro"/>
    <w:link w:val="TestomacroCarattere"/>
    <w:uiPriority w:val="99"/>
    <w:semiHidden/>
    <w:rsid w:val="00F8463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F84635"/>
    <w:rPr>
      <w:rFonts w:ascii="Consolas" w:eastAsiaTheme="minorEastAsia" w:hAnsi="Consolas" w:cs="Consolas"/>
      <w:sz w:val="20"/>
      <w:szCs w:val="20"/>
    </w:rPr>
  </w:style>
  <w:style w:type="table" w:styleId="Grigliamedia1">
    <w:name w:val="Medium Grid 1"/>
    <w:basedOn w:val="Tabellanormale"/>
    <w:uiPriority w:val="99"/>
    <w:semiHidden/>
    <w:rsid w:val="00F84635"/>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F84635"/>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F84635"/>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F84635"/>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F84635"/>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F84635"/>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F84635"/>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F84635"/>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F84635"/>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F84635"/>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F84635"/>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F84635"/>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F84635"/>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F84635"/>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F84635"/>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F84635"/>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F84635"/>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F84635"/>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F84635"/>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F84635"/>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F84635"/>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F84635"/>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F84635"/>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F84635"/>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F84635"/>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F84635"/>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F84635"/>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F84635"/>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F84635"/>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F8463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F8463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F8463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F8463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F8463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F8463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F84635"/>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F846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F84635"/>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F84635"/>
    <w:rPr>
      <w:rFonts w:ascii="Times New Roman" w:hAnsi="Times New Roman" w:cs="Times New Roman"/>
      <w:szCs w:val="24"/>
    </w:rPr>
  </w:style>
  <w:style w:type="paragraph" w:styleId="Rientronormale">
    <w:name w:val="Normal Indent"/>
    <w:basedOn w:val="Normale"/>
    <w:uiPriority w:val="99"/>
    <w:semiHidden/>
    <w:rsid w:val="00F84635"/>
    <w:pPr>
      <w:ind w:left="720"/>
    </w:pPr>
  </w:style>
  <w:style w:type="paragraph" w:styleId="Intestazionenota">
    <w:name w:val="Note Heading"/>
    <w:basedOn w:val="Normale"/>
    <w:next w:val="Normale"/>
    <w:link w:val="IntestazionenotaCarattere"/>
    <w:uiPriority w:val="99"/>
    <w:semiHidden/>
    <w:rsid w:val="00F84635"/>
  </w:style>
  <w:style w:type="character" w:customStyle="1" w:styleId="IntestazionenotaCarattere">
    <w:name w:val="Intestazione nota Carattere"/>
    <w:basedOn w:val="Carpredefinitoparagrafo"/>
    <w:link w:val="Intestazionenota"/>
    <w:uiPriority w:val="99"/>
    <w:semiHidden/>
    <w:rsid w:val="00F84635"/>
    <w:rPr>
      <w:rFonts w:eastAsiaTheme="minorEastAsia"/>
      <w:sz w:val="24"/>
    </w:rPr>
  </w:style>
  <w:style w:type="character" w:styleId="Testosegnaposto">
    <w:name w:val="Placeholder Text"/>
    <w:basedOn w:val="Carpredefinitoparagrafo"/>
    <w:uiPriority w:val="99"/>
    <w:semiHidden/>
    <w:rsid w:val="00A7177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F84635"/>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F84635"/>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F84635"/>
  </w:style>
  <w:style w:type="character" w:customStyle="1" w:styleId="FormuladiaperturaCarattere">
    <w:name w:val="Formula di apertura Carattere"/>
    <w:basedOn w:val="Carpredefinitoparagrafo"/>
    <w:link w:val="Formuladiapertura"/>
    <w:uiPriority w:val="99"/>
    <w:semiHidden/>
    <w:rsid w:val="00F84635"/>
    <w:rPr>
      <w:rFonts w:eastAsiaTheme="minorEastAsia"/>
      <w:sz w:val="24"/>
    </w:rPr>
  </w:style>
  <w:style w:type="paragraph" w:styleId="Firma">
    <w:name w:val="Signature"/>
    <w:basedOn w:val="Normale"/>
    <w:link w:val="FirmaCarattere"/>
    <w:uiPriority w:val="99"/>
    <w:semiHidden/>
    <w:rsid w:val="00F84635"/>
    <w:pPr>
      <w:ind w:left="4252"/>
    </w:pPr>
  </w:style>
  <w:style w:type="character" w:customStyle="1" w:styleId="FirmaCarattere">
    <w:name w:val="Firma Carattere"/>
    <w:basedOn w:val="Carpredefinitoparagrafo"/>
    <w:link w:val="Firma"/>
    <w:uiPriority w:val="99"/>
    <w:semiHidden/>
    <w:rsid w:val="00F84635"/>
    <w:rPr>
      <w:rFonts w:eastAsiaTheme="minorEastAsia"/>
      <w:sz w:val="24"/>
    </w:rPr>
  </w:style>
  <w:style w:type="table" w:styleId="Tabellaeffetti3D1">
    <w:name w:val="Table 3D effects 1"/>
    <w:basedOn w:val="Tabellanormale"/>
    <w:uiPriority w:val="99"/>
    <w:semiHidden/>
    <w:rsid w:val="00F84635"/>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F84635"/>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F84635"/>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F84635"/>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F84635"/>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F84635"/>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F84635"/>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F84635"/>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F84635"/>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F84635"/>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F84635"/>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F84635"/>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F84635"/>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F84635"/>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F84635"/>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F84635"/>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F84635"/>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F84635"/>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F84635"/>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F84635"/>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F84635"/>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F84635"/>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F84635"/>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F84635"/>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F84635"/>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F84635"/>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F84635"/>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F84635"/>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F84635"/>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F84635"/>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F84635"/>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F84635"/>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F84635"/>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F84635"/>
    <w:pPr>
      <w:ind w:left="240" w:hanging="240"/>
    </w:pPr>
  </w:style>
  <w:style w:type="paragraph" w:styleId="Indicedellefigure">
    <w:name w:val="table of figures"/>
    <w:basedOn w:val="Normale"/>
    <w:next w:val="Normale"/>
    <w:uiPriority w:val="99"/>
    <w:semiHidden/>
    <w:rsid w:val="00F84635"/>
  </w:style>
  <w:style w:type="table" w:styleId="Tabellaprofessionale">
    <w:name w:val="Table Professional"/>
    <w:basedOn w:val="Tabellanormale"/>
    <w:uiPriority w:val="99"/>
    <w:semiHidden/>
    <w:rsid w:val="00F84635"/>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F84635"/>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F84635"/>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F84635"/>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F84635"/>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F84635"/>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F84635"/>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F84635"/>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F84635"/>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F84635"/>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7177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7177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F84635"/>
    <w:pPr>
      <w:spacing w:after="100"/>
      <w:ind w:left="1680"/>
    </w:pPr>
  </w:style>
  <w:style w:type="paragraph" w:styleId="Sommario9">
    <w:name w:val="toc 9"/>
    <w:basedOn w:val="Normale"/>
    <w:next w:val="Normale"/>
    <w:autoRedefine/>
    <w:uiPriority w:val="99"/>
    <w:semiHidden/>
    <w:rsid w:val="00F84635"/>
    <w:pPr>
      <w:spacing w:after="100"/>
      <w:ind w:left="1920"/>
    </w:pPr>
  </w:style>
  <w:style w:type="paragraph" w:customStyle="1" w:styleId="OpiHa">
    <w:name w:val="Opi_H_a"/>
    <w:basedOn w:val="ECHRHeading3"/>
    <w:uiPriority w:val="43"/>
    <w:qFormat/>
    <w:rsid w:val="00A71776"/>
    <w:pPr>
      <w:ind w:left="833" w:hanging="357"/>
      <w:outlineLvl w:val="3"/>
    </w:pPr>
    <w:rPr>
      <w:b/>
      <w:i w:val="0"/>
      <w:sz w:val="20"/>
    </w:rPr>
  </w:style>
  <w:style w:type="paragraph" w:customStyle="1" w:styleId="OpiHA0">
    <w:name w:val="Opi_H_A"/>
    <w:basedOn w:val="ECHRHeading1"/>
    <w:next w:val="OpiPara"/>
    <w:uiPriority w:val="41"/>
    <w:qFormat/>
    <w:rsid w:val="00A71776"/>
    <w:pPr>
      <w:tabs>
        <w:tab w:val="clear" w:pos="357"/>
      </w:tabs>
      <w:outlineLvl w:val="1"/>
    </w:pPr>
    <w:rPr>
      <w:b/>
    </w:rPr>
  </w:style>
  <w:style w:type="paragraph" w:customStyle="1" w:styleId="OpiHi">
    <w:name w:val="Opi_H_i"/>
    <w:basedOn w:val="ECHRHeading4"/>
    <w:uiPriority w:val="44"/>
    <w:qFormat/>
    <w:rsid w:val="00A71776"/>
    <w:pPr>
      <w:ind w:left="1037" w:hanging="357"/>
      <w:outlineLvl w:val="4"/>
    </w:pPr>
    <w:rPr>
      <w:b w:val="0"/>
      <w:i/>
    </w:rPr>
  </w:style>
  <w:style w:type="paragraph" w:customStyle="1" w:styleId="OpiPara">
    <w:name w:val="Opi_Para"/>
    <w:basedOn w:val="ECHRPara"/>
    <w:uiPriority w:val="46"/>
    <w:qFormat/>
    <w:rsid w:val="00A71776"/>
  </w:style>
  <w:style w:type="paragraph" w:customStyle="1" w:styleId="OpiParaSub">
    <w:name w:val="Opi_Para_Sub"/>
    <w:basedOn w:val="JuParaSub"/>
    <w:uiPriority w:val="47"/>
    <w:qFormat/>
    <w:rsid w:val="00A71776"/>
  </w:style>
  <w:style w:type="paragraph" w:customStyle="1" w:styleId="OpiQuot">
    <w:name w:val="Opi_Quot"/>
    <w:basedOn w:val="ECHRParaQuote"/>
    <w:uiPriority w:val="48"/>
    <w:qFormat/>
    <w:rsid w:val="00A71776"/>
  </w:style>
  <w:style w:type="paragraph" w:customStyle="1" w:styleId="OpiQuotSub">
    <w:name w:val="Opi_Quot_Sub"/>
    <w:basedOn w:val="JuQuotSub"/>
    <w:uiPriority w:val="49"/>
    <w:qFormat/>
    <w:rsid w:val="00A71776"/>
  </w:style>
  <w:style w:type="paragraph" w:customStyle="1" w:styleId="ECHRParaSpaced">
    <w:name w:val="ECHR_Para_Spaced"/>
    <w:aliases w:val="Para_Spaced"/>
    <w:basedOn w:val="Normale"/>
    <w:uiPriority w:val="5"/>
    <w:rsid w:val="00935A57"/>
    <w:pPr>
      <w:spacing w:before="120" w:after="120"/>
    </w:pPr>
    <w:rPr>
      <w:rFonts w:eastAsiaTheme="minorHAnsi"/>
      <w:sz w:val="22"/>
    </w:rPr>
  </w:style>
  <w:style w:type="paragraph" w:customStyle="1" w:styleId="OpiTranslation">
    <w:name w:val="Opi_Translation"/>
    <w:basedOn w:val="Normale"/>
    <w:next w:val="OpiPara"/>
    <w:uiPriority w:val="40"/>
    <w:qFormat/>
    <w:rsid w:val="00A71776"/>
    <w:pPr>
      <w:jc w:val="center"/>
      <w:outlineLvl w:val="0"/>
    </w:pPr>
    <w:rPr>
      <w:i/>
    </w:rPr>
  </w:style>
  <w:style w:type="character" w:customStyle="1" w:styleId="ECHRParaChar">
    <w:name w:val="ECHR_Para Char"/>
    <w:aliases w:val="Ju_Para Char"/>
    <w:link w:val="ECHRPara"/>
    <w:uiPriority w:val="12"/>
    <w:rsid w:val="00394DA5"/>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45225">
      <w:bodyDiv w:val="1"/>
      <w:marLeft w:val="0"/>
      <w:marRight w:val="0"/>
      <w:marTop w:val="0"/>
      <w:marBottom w:val="0"/>
      <w:divBdr>
        <w:top w:val="none" w:sz="0" w:space="0" w:color="auto"/>
        <w:left w:val="none" w:sz="0" w:space="0" w:color="auto"/>
        <w:bottom w:val="none" w:sz="0" w:space="0" w:color="auto"/>
        <w:right w:val="none" w:sz="0" w:space="0" w:color="auto"/>
      </w:divBdr>
    </w:div>
    <w:div w:id="882016020">
      <w:bodyDiv w:val="1"/>
      <w:marLeft w:val="0"/>
      <w:marRight w:val="0"/>
      <w:marTop w:val="0"/>
      <w:marBottom w:val="0"/>
      <w:divBdr>
        <w:top w:val="none" w:sz="0" w:space="0" w:color="auto"/>
        <w:left w:val="none" w:sz="0" w:space="0" w:color="auto"/>
        <w:bottom w:val="none" w:sz="0" w:space="0" w:color="auto"/>
        <w:right w:val="none" w:sz="0" w:space="0" w:color="auto"/>
      </w:divBdr>
      <w:divsChild>
        <w:div w:id="767850939">
          <w:marLeft w:val="0"/>
          <w:marRight w:val="0"/>
          <w:marTop w:val="0"/>
          <w:marBottom w:val="0"/>
          <w:divBdr>
            <w:top w:val="none" w:sz="0" w:space="0" w:color="auto"/>
            <w:left w:val="none" w:sz="0" w:space="0" w:color="auto"/>
            <w:bottom w:val="none" w:sz="0" w:space="0" w:color="auto"/>
            <w:right w:val="none" w:sz="0" w:space="0" w:color="auto"/>
          </w:divBdr>
          <w:divsChild>
            <w:div w:id="71896219">
              <w:marLeft w:val="0"/>
              <w:marRight w:val="0"/>
              <w:marTop w:val="0"/>
              <w:marBottom w:val="0"/>
              <w:divBdr>
                <w:top w:val="none" w:sz="0" w:space="0" w:color="auto"/>
                <w:left w:val="none" w:sz="0" w:space="0" w:color="auto"/>
                <w:bottom w:val="none" w:sz="0" w:space="0" w:color="auto"/>
                <w:right w:val="none" w:sz="0" w:space="0" w:color="auto"/>
              </w:divBdr>
              <w:divsChild>
                <w:div w:id="1213930238">
                  <w:marLeft w:val="0"/>
                  <w:marRight w:val="0"/>
                  <w:marTop w:val="0"/>
                  <w:marBottom w:val="0"/>
                  <w:divBdr>
                    <w:top w:val="none" w:sz="0" w:space="0" w:color="auto"/>
                    <w:left w:val="none" w:sz="0" w:space="0" w:color="auto"/>
                    <w:bottom w:val="none" w:sz="0" w:space="0" w:color="auto"/>
                    <w:right w:val="none" w:sz="0" w:space="0" w:color="auto"/>
                  </w:divBdr>
                  <w:divsChild>
                    <w:div w:id="1911110255">
                      <w:marLeft w:val="0"/>
                      <w:marRight w:val="0"/>
                      <w:marTop w:val="0"/>
                      <w:marBottom w:val="0"/>
                      <w:divBdr>
                        <w:top w:val="none" w:sz="0" w:space="0" w:color="auto"/>
                        <w:left w:val="none" w:sz="0" w:space="0" w:color="auto"/>
                        <w:bottom w:val="none" w:sz="0" w:space="0" w:color="auto"/>
                        <w:right w:val="none" w:sz="0" w:space="0" w:color="auto"/>
                      </w:divBdr>
                      <w:divsChild>
                        <w:div w:id="362680007">
                          <w:marLeft w:val="0"/>
                          <w:marRight w:val="0"/>
                          <w:marTop w:val="0"/>
                          <w:marBottom w:val="0"/>
                          <w:divBdr>
                            <w:top w:val="none" w:sz="0" w:space="0" w:color="auto"/>
                            <w:left w:val="none" w:sz="0" w:space="0" w:color="auto"/>
                            <w:bottom w:val="none" w:sz="0" w:space="0" w:color="auto"/>
                            <w:right w:val="none" w:sz="0" w:space="0" w:color="auto"/>
                          </w:divBdr>
                          <w:divsChild>
                            <w:div w:id="18115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5C1C-EAFC-43A4-995A-B51E7817C00B}">
  <ds:schemaRefs>
    <ds:schemaRef ds:uri="http://schemas.microsoft.com/sharepoint/v3/contenttype/forms"/>
  </ds:schemaRefs>
</ds:datastoreItem>
</file>

<file path=customXml/itemProps2.xml><?xml version="1.0" encoding="utf-8"?>
<ds:datastoreItem xmlns:ds="http://schemas.openxmlformats.org/officeDocument/2006/customXml" ds:itemID="{522828AA-66D2-415D-B598-DB660E18C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AE030-F756-414A-8A88-FD14348AA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95F42A-251E-4829-909E-244F8FB4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5774</Words>
  <Characters>32915</Characters>
  <Application>Microsoft Office Word</Application>
  <DocSecurity>0</DocSecurity>
  <Lines>274</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1</cp:revision>
  <dcterms:created xsi:type="dcterms:W3CDTF">2018-01-25T14:37:00Z</dcterms:created>
  <dcterms:modified xsi:type="dcterms:W3CDTF">2018-01-25T14:37:00Z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38259/09</vt:lpwstr>
  </property>
  <property fmtid="{D5CDD505-2E9C-101B-9397-08002B2CF9AE}" pid="4" name="CASEID">
    <vt:lpwstr>584482</vt:lpwstr>
  </property>
  <property fmtid="{D5CDD505-2E9C-101B-9397-08002B2CF9AE}" pid="5" name="ContentTypeId">
    <vt:lpwstr>0x010100558EB02BDB9E204AB350EDD385B68E10</vt:lpwstr>
  </property>
</Properties>
</file>